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30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0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0"/>
          <w:highlight w:val="none"/>
          <w:lang w:val="en-US" w:eastAsia="zh-CN"/>
        </w:rPr>
        <w:t>1</w:t>
      </w:r>
    </w:p>
    <w:p w14:paraId="5C6221EF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</w:p>
    <w:p w14:paraId="5485C55F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</w:p>
    <w:p w14:paraId="6FFB4156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</w:p>
    <w:p w14:paraId="215F023E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</w:p>
    <w:p w14:paraId="3ED62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580" w:lineRule="exact"/>
        <w:ind w:left="0" w:leftChars="0"/>
        <w:jc w:val="center"/>
        <w:textAlignment w:val="auto"/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val="en-US" w:eastAsia="zh-CN"/>
        </w:rPr>
        <w:t>武汉市未来产业孵化器</w:t>
      </w:r>
    </w:p>
    <w:p w14:paraId="4F3E2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580" w:lineRule="exact"/>
        <w:ind w:left="0" w:leftChars="0"/>
        <w:jc w:val="center"/>
        <w:textAlignment w:val="auto"/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  <w:r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val="en-US" w:eastAsia="zh-CN"/>
        </w:rPr>
        <w:t>建设试点</w:t>
      </w:r>
      <w:r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  <w:t>申报表</w:t>
      </w:r>
      <w:bookmarkEnd w:id="0"/>
    </w:p>
    <w:p w14:paraId="49F192C6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sz w:val="32"/>
          <w:szCs w:val="48"/>
          <w:highlight w:val="none"/>
          <w:u w:val="single" w:color="auto"/>
          <w:shd w:val="clear" w:color="auto" w:fill="FFFFFF"/>
          <w:lang w:val="en-US" w:eastAsia="zh-CN"/>
        </w:rPr>
      </w:pPr>
    </w:p>
    <w:p w14:paraId="57FEDF55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eastAsia" w:ascii="仿宋_GB2312" w:hAnsi="仿宋_GB2312" w:eastAsia="仿宋_GB2312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sz w:val="32"/>
          <w:szCs w:val="48"/>
          <w:highlight w:val="none"/>
          <w:u w:val="single" w:color="auto"/>
          <w:shd w:val="clear" w:color="auto" w:fill="FFFFFF"/>
          <w:lang w:val="en-US" w:eastAsia="zh-CN"/>
        </w:rPr>
        <w:t xml:space="preserve"> （孵化载体名称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pacing w:val="40"/>
          <w:sz w:val="32"/>
          <w:szCs w:val="48"/>
          <w:highlight w:val="none"/>
          <w:u w:val="single" w:color="auto"/>
          <w:shd w:val="clear" w:color="auto" w:fill="FFFFFF"/>
          <w:lang w:val="en-US" w:eastAsia="zh-CN"/>
        </w:rPr>
        <w:t>）</w:t>
      </w:r>
    </w:p>
    <w:p w14:paraId="38A7A555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0006DB55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0509AB30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28560174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1D126263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4D46C295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thick"/>
          <w:shd w:val="clear" w:color="auto" w:fill="FFFFFF"/>
          <w:lang w:val="en-US"/>
        </w:rPr>
      </w:pP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推荐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  <w:t>单位：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single"/>
          <w:shd w:val="clear" w:color="auto" w:fill="FFFFFF"/>
        </w:rPr>
        <w:t>（公章）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 xml:space="preserve">        (区科技管理部门)           </w:t>
      </w:r>
    </w:p>
    <w:p w14:paraId="4EA1219E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</w:pPr>
    </w:p>
    <w:p w14:paraId="7D1B9BB0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thick"/>
          <w:shd w:val="clear" w:color="auto" w:fill="FFFFFF"/>
        </w:rPr>
      </w:pP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申报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  <w:t>单位：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single"/>
          <w:shd w:val="clear" w:color="auto" w:fill="FFFFFF"/>
        </w:rPr>
        <w:t xml:space="preserve">（公章）                                 </w:t>
      </w:r>
    </w:p>
    <w:p w14:paraId="23A8FB5D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</w:pPr>
    </w:p>
    <w:p w14:paraId="6C24FCA4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</w:pPr>
    </w:p>
    <w:p w14:paraId="6353AA06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Cs w:val="21"/>
          <w:highlight w:val="none"/>
          <w:shd w:val="clear" w:color="auto" w:fill="FFFFFF"/>
        </w:rPr>
      </w:pP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  <w:t>日期：         年     月     日</w:t>
      </w:r>
    </w:p>
    <w:p w14:paraId="76C3B24A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2"/>
          <w:szCs w:val="32"/>
          <w:highlight w:val="none"/>
          <w:shd w:val="clear" w:color="auto" w:fill="FFFFFF"/>
        </w:rPr>
      </w:pPr>
    </w:p>
    <w:p w14:paraId="7A6510D9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6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color w:val="auto"/>
          <w:sz w:val="36"/>
          <w:highlight w:val="none"/>
          <w:shd w:val="clear" w:color="auto" w:fill="FFFFFF"/>
        </w:rPr>
        <w:br w:type="page"/>
      </w:r>
      <w:r>
        <w:rPr>
          <w:rFonts w:hint="eastAsia" w:ascii="文星标宋" w:hAnsi="文星标宋" w:eastAsia="文星标宋" w:cs="文星标宋"/>
          <w:b w:val="0"/>
          <w:bCs/>
          <w:color w:val="auto"/>
          <w:sz w:val="36"/>
          <w:highlight w:val="none"/>
          <w:shd w:val="clear" w:color="auto" w:fill="FFFFFF"/>
        </w:rPr>
        <w:t>基本信息表</w:t>
      </w:r>
    </w:p>
    <w:tbl>
      <w:tblPr>
        <w:tblStyle w:val="2"/>
        <w:tblW w:w="92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192"/>
        <w:gridCol w:w="1541"/>
        <w:gridCol w:w="3019"/>
      </w:tblGrid>
      <w:tr w14:paraId="0E798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47" w:type="dxa"/>
            <w:noWrap w:val="0"/>
            <w:vAlign w:val="center"/>
          </w:tcPr>
          <w:p w14:paraId="168C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孵化载体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72098B9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76EE8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4657D6D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领域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2F702E9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67C85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7C25A83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单位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6CBC4EE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39BBA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777E53D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地址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3632140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2F287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399B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孵化场地面积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3274A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72D97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4303B71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所在区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323C885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633DB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245CB20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联系人</w:t>
            </w:r>
          </w:p>
        </w:tc>
        <w:tc>
          <w:tcPr>
            <w:tcW w:w="3192" w:type="dxa"/>
            <w:noWrap w:val="0"/>
            <w:vAlign w:val="center"/>
          </w:tcPr>
          <w:p w14:paraId="709B368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6CE270B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务</w:t>
            </w:r>
          </w:p>
        </w:tc>
        <w:tc>
          <w:tcPr>
            <w:tcW w:w="3019" w:type="dxa"/>
            <w:noWrap w:val="0"/>
            <w:vAlign w:val="center"/>
          </w:tcPr>
          <w:p w14:paraId="2E3DB77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54A02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34883E6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联系电话</w:t>
            </w:r>
          </w:p>
        </w:tc>
        <w:tc>
          <w:tcPr>
            <w:tcW w:w="3192" w:type="dxa"/>
            <w:noWrap w:val="0"/>
            <w:vAlign w:val="center"/>
          </w:tcPr>
          <w:p w14:paraId="66BB5F7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647980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机</w:t>
            </w:r>
          </w:p>
        </w:tc>
        <w:tc>
          <w:tcPr>
            <w:tcW w:w="3019" w:type="dxa"/>
            <w:noWrap w:val="0"/>
            <w:vAlign w:val="center"/>
          </w:tcPr>
          <w:p w14:paraId="41B3AA9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13D93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547" w:type="dxa"/>
            <w:noWrap w:val="0"/>
            <w:vAlign w:val="center"/>
          </w:tcPr>
          <w:p w14:paraId="041C254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传  真</w:t>
            </w:r>
          </w:p>
        </w:tc>
        <w:tc>
          <w:tcPr>
            <w:tcW w:w="3192" w:type="dxa"/>
            <w:noWrap w:val="0"/>
            <w:vAlign w:val="center"/>
          </w:tcPr>
          <w:p w14:paraId="696C4E0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5363C74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Email:</w:t>
            </w:r>
          </w:p>
        </w:tc>
        <w:tc>
          <w:tcPr>
            <w:tcW w:w="3019" w:type="dxa"/>
            <w:noWrap w:val="0"/>
            <w:vAlign w:val="center"/>
          </w:tcPr>
          <w:p w14:paraId="0A068EA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701C2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0B735F0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（一）试点项目及建设运营单位</w:t>
            </w: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总体情况</w:t>
            </w:r>
          </w:p>
        </w:tc>
      </w:tr>
      <w:tr w14:paraId="17BAB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9299" w:type="dxa"/>
            <w:gridSpan w:val="4"/>
            <w:noWrap w:val="0"/>
            <w:vAlign w:val="top"/>
          </w:tcPr>
          <w:p w14:paraId="029A0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（试点项目及申报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单位简介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、建设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背景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、聚焦领域，孵化场地面积、布局，孵化团队领军人物，依托或合作的龙头企业/创新平台/投资机构/专业服务机构等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</w:tr>
      <w:tr w14:paraId="78EA2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75B5E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（二）试点基础及优势：详细描述建设未来产业孵化器已具备的基础条件和优势，需附相应证明材料</w:t>
            </w:r>
          </w:p>
        </w:tc>
      </w:tr>
      <w:tr w14:paraId="6622E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1547" w:type="dxa"/>
            <w:noWrap w:val="0"/>
            <w:vAlign w:val="center"/>
          </w:tcPr>
          <w:p w14:paraId="1CA1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1、现有未来产业领域企业情况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7CECBEF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（目前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培育和招引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的未来产业领域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企业数量、企业基本情况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。）</w:t>
            </w:r>
          </w:p>
        </w:tc>
      </w:tr>
      <w:tr w14:paraId="4CA11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  <w:jc w:val="center"/>
        </w:trPr>
        <w:tc>
          <w:tcPr>
            <w:tcW w:w="1547" w:type="dxa"/>
            <w:noWrap w:val="0"/>
            <w:vAlign w:val="center"/>
          </w:tcPr>
          <w:p w14:paraId="2DA0B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专业服务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能力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35B2E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目前公共服务平台建设情况，与各类专业机构开展合作情况，为未来科技企业提供技术发现、委托研发、验证熟化、检测认证、工业设计、早期专业投资、知识产权、供应链和产业链资源链接等方面专业服务能力、资源和取得的成效。）</w:t>
            </w:r>
          </w:p>
        </w:tc>
      </w:tr>
      <w:tr w14:paraId="3F16E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1547" w:type="dxa"/>
            <w:noWrap w:val="0"/>
            <w:vAlign w:val="center"/>
          </w:tcPr>
          <w:p w14:paraId="77C1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3、孵化服务机制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024CC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（在项目发掘、“超前孵化”、“组装项目”、四链贯通等方面形成的孵化服务机制。）</w:t>
            </w:r>
          </w:p>
        </w:tc>
      </w:tr>
      <w:tr w14:paraId="3868E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1547" w:type="dxa"/>
            <w:noWrap w:val="0"/>
            <w:vAlign w:val="center"/>
          </w:tcPr>
          <w:p w14:paraId="529FF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人才支撑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情况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629CA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  （孵化团队领军人物简介；孵化管理服务人员总体情况；创业导师队伍建设；知名企业家、投资家、科学家、产业服务专家等方面资源。）</w:t>
            </w:r>
          </w:p>
        </w:tc>
      </w:tr>
      <w:tr w14:paraId="62780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  <w:jc w:val="center"/>
        </w:trPr>
        <w:tc>
          <w:tcPr>
            <w:tcW w:w="1547" w:type="dxa"/>
            <w:noWrap w:val="0"/>
            <w:vAlign w:val="center"/>
          </w:tcPr>
          <w:p w14:paraId="0ECC468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5、特色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优势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727F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  （是否依托行业龙头企业、高能级创新平台、专业投资机构，具备较强的资源链接能力，或在成果转化、技术支持、创业辅导、服务链接、产业链资源、投资加速、国际化服务等方面具备突出的特色优势。）</w:t>
            </w:r>
          </w:p>
        </w:tc>
      </w:tr>
      <w:tr w14:paraId="29184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128DA9E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（三）总体思路与建设路径</w:t>
            </w:r>
          </w:p>
        </w:tc>
      </w:tr>
      <w:tr w14:paraId="477B8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9299" w:type="dxa"/>
            <w:gridSpan w:val="4"/>
            <w:noWrap w:val="0"/>
            <w:vAlign w:val="top"/>
          </w:tcPr>
          <w:p w14:paraId="398B3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战略定位、总体思路、重点内容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、建设路径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、资金投入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计划进度等。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</w:tr>
      <w:tr w14:paraId="68CBC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350762A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（四）</w:t>
            </w:r>
            <w:r>
              <w:rPr>
                <w:rFonts w:hint="default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预期成果与</w:t>
            </w: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建设</w:t>
            </w:r>
            <w:r>
              <w:rPr>
                <w:rFonts w:hint="default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目标</w:t>
            </w:r>
          </w:p>
        </w:tc>
      </w:tr>
      <w:tr w14:paraId="068E5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6" w:hRule="atLeast"/>
          <w:jc w:val="center"/>
        </w:trPr>
        <w:tc>
          <w:tcPr>
            <w:tcW w:w="9299" w:type="dxa"/>
            <w:gridSpan w:val="4"/>
            <w:noWrap w:val="0"/>
            <w:vAlign w:val="top"/>
          </w:tcPr>
          <w:p w14:paraId="468D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明确提出试点建设三年建设周期预期成果和要达到的目标，分年度撰写，包括以下方面：</w:t>
            </w:r>
          </w:p>
          <w:p w14:paraId="37B22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未来产业领域企业（团队）培育招引数量和质量方面（成长性、创新性、行业竞争力等）；</w:t>
            </w:r>
          </w:p>
          <w:p w14:paraId="7D357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公共技术服务平台搭建方面（数量和服务能力）；</w:t>
            </w:r>
          </w:p>
          <w:p w14:paraId="52F5B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投融资资源和服务成效方面；</w:t>
            </w:r>
          </w:p>
          <w:p w14:paraId="4163B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服务力量方面：孵化领军人物、管理服务团队、创业导师、专业服务机构的数量及服务能力；</w:t>
            </w:r>
          </w:p>
          <w:p w14:paraId="5A240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孵化机制创新方面；</w:t>
            </w:r>
          </w:p>
          <w:p w14:paraId="211A9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空间布局和服务设施优化方面；</w:t>
            </w:r>
          </w:p>
          <w:p w14:paraId="6DE89B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其他方面。</w:t>
            </w:r>
          </w:p>
        </w:tc>
      </w:tr>
      <w:tr w14:paraId="508A4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082E75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（五）具体保障</w:t>
            </w:r>
            <w:r>
              <w:rPr>
                <w:rFonts w:hint="default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措施</w:t>
            </w:r>
          </w:p>
        </w:tc>
      </w:tr>
      <w:tr w14:paraId="225E8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  <w:jc w:val="center"/>
        </w:trPr>
        <w:tc>
          <w:tcPr>
            <w:tcW w:w="9299" w:type="dxa"/>
            <w:gridSpan w:val="4"/>
            <w:noWrap w:val="0"/>
            <w:vAlign w:val="top"/>
          </w:tcPr>
          <w:p w14:paraId="2272E3C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与试点建设配套的组织保障、资金、人才、技术等方面的支撑措施。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）</w:t>
            </w:r>
          </w:p>
          <w:p w14:paraId="3823292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46A9D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547" w:type="dxa"/>
            <w:noWrap w:val="0"/>
            <w:vAlign w:val="center"/>
          </w:tcPr>
          <w:p w14:paraId="686DC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实施周期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（原则上为3年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411CDD6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firstLine="420" w:firstLineChars="1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年  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至  年  月</w:t>
            </w:r>
          </w:p>
        </w:tc>
      </w:tr>
      <w:tr w14:paraId="79908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2" w:hRule="atLeast"/>
          <w:jc w:val="center"/>
        </w:trPr>
        <w:tc>
          <w:tcPr>
            <w:tcW w:w="1547" w:type="dxa"/>
            <w:noWrap w:val="0"/>
            <w:vAlign w:val="center"/>
          </w:tcPr>
          <w:p w14:paraId="5884F0B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承诺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22448DD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本单位及本人郑重承诺，本单位所提交的全部申请材料均真实、有效。</w:t>
            </w:r>
          </w:p>
          <w:p w14:paraId="4AA637B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1854E47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4E07043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61D3673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单位负责人（签 字）：   </w:t>
            </w:r>
          </w:p>
          <w:p w14:paraId="65E8174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 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单位（公 章）          </w:t>
            </w:r>
          </w:p>
          <w:p w14:paraId="2269593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0168033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0" w:beforeLines="0" w:beforeAutospacing="0" w:after="0" w:afterLines="0" w:afterAutospacing="0" w:line="580" w:lineRule="exact"/>
              <w:ind w:left="0" w:leftChars="0" w:firstLine="3640" w:firstLineChars="13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年     月     日</w:t>
            </w:r>
          </w:p>
        </w:tc>
      </w:tr>
      <w:tr w14:paraId="226AA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547" w:type="dxa"/>
            <w:noWrap w:val="0"/>
            <w:vAlign w:val="center"/>
          </w:tcPr>
          <w:p w14:paraId="75D403D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区科技管理部门推荐意见及配套措施</w:t>
            </w:r>
          </w:p>
        </w:tc>
        <w:tc>
          <w:tcPr>
            <w:tcW w:w="7752" w:type="dxa"/>
            <w:gridSpan w:val="3"/>
            <w:noWrap w:val="0"/>
            <w:vAlign w:val="bottom"/>
          </w:tcPr>
          <w:p w14:paraId="54101F4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153F7A5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7E4812C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51228F5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right="561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42BAC81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3702292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46523CB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25CF7DF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单位负责人（签 字）：   </w:t>
            </w:r>
          </w:p>
          <w:p w14:paraId="15CF284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（公 章）          </w:t>
            </w:r>
          </w:p>
          <w:p w14:paraId="3668D4B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1DA03BA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0" w:beforeLines="0" w:beforeAutospacing="0" w:after="0" w:afterLines="0" w:afterAutospacing="0" w:line="580" w:lineRule="exact"/>
              <w:ind w:left="0" w:leftChars="0" w:firstLine="3640" w:firstLineChars="1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年     月     日</w:t>
            </w:r>
          </w:p>
        </w:tc>
      </w:tr>
    </w:tbl>
    <w:p w14:paraId="2680007B">
      <w:r>
        <w:rPr>
          <w:rFonts w:hint="eastAsia" w:ascii="文星仿宋" w:hAnsi="文星仿宋" w:eastAsia="文星仿宋" w:cs="文星仿宋"/>
          <w:color w:val="auto"/>
          <w:sz w:val="28"/>
          <w:szCs w:val="28"/>
          <w:lang w:val="en-US" w:eastAsia="zh-CN"/>
        </w:rPr>
        <w:t>基本信息应填写完整，</w:t>
      </w:r>
      <w:r>
        <w:rPr>
          <w:rFonts w:hint="default" w:ascii="文星仿宋" w:hAnsi="文星仿宋" w:eastAsia="文星仿宋" w:cs="文星仿宋"/>
          <w:color w:val="auto"/>
          <w:sz w:val="28"/>
          <w:szCs w:val="28"/>
          <w:lang w:val="en-US" w:eastAsia="zh-CN"/>
        </w:rPr>
        <w:t>内容应表述简洁、清晰</w:t>
      </w:r>
      <w:r>
        <w:rPr>
          <w:rFonts w:hint="eastAsia" w:ascii="文星仿宋" w:hAnsi="文星仿宋" w:eastAsia="文星仿宋" w:cs="文星仿宋"/>
          <w:color w:val="auto"/>
          <w:sz w:val="28"/>
          <w:szCs w:val="28"/>
          <w:lang w:val="en-US" w:eastAsia="zh-CN"/>
        </w:rPr>
        <w:t>。</w:t>
      </w:r>
      <w:r>
        <w:rPr>
          <w:rFonts w:hint="default" w:ascii="文星仿宋" w:hAnsi="文星仿宋" w:eastAsia="文星仿宋" w:cs="文星仿宋"/>
          <w:color w:val="auto"/>
          <w:sz w:val="28"/>
          <w:szCs w:val="28"/>
          <w:lang w:val="en-US" w:eastAsia="zh-CN"/>
        </w:rPr>
        <w:t>不限字数，可另加页</w:t>
      </w:r>
      <w:r>
        <w:rPr>
          <w:rFonts w:hint="eastAsia" w:ascii="文星仿宋" w:hAnsi="文星仿宋" w:eastAsia="文星仿宋" w:cs="文星仿宋"/>
          <w:color w:val="auto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59978"/>
    <w:multiLevelType w:val="singleLevel"/>
    <w:tmpl w:val="468599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Y2I3NzJmZDhlMWEwZDE5MzBkZGRhYzllNDY2NWQifQ=="/>
  </w:docVars>
  <w:rsids>
    <w:rsidRoot w:val="0D420DC6"/>
    <w:rsid w:val="0D420DC6"/>
    <w:rsid w:val="271A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2024-07-25T01:04:00Z</dcterms:created>
  <dc:creator>Akela</dc:creator>
  <cp:lastModifiedBy>Akela</cp:lastModifiedBy>
  <dcterms:modified xsi:type="dcterms:W3CDTF">2024-07-25T01:04:56Z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9E7AB0D961464C19BAD7C5641A635622_11</vt:lpwstr>
  </property>
</Properties>
</file>