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Times New Roman" w:hAnsi="Times New Roman"/>
          <w:bCs/>
          <w:color w:val="auto"/>
          <w:sz w:val="32"/>
          <w:szCs w:val="24"/>
          <w:highlight w:val="none"/>
        </w:rPr>
      </w:pPr>
      <w:bookmarkStart w:id="0" w:name="_Toc121734439"/>
      <w:bookmarkStart w:id="1" w:name="_Hlk122288579"/>
      <w:bookmarkStart w:id="2" w:name="_Toc29618"/>
      <w:bookmarkStart w:id="3" w:name="_Toc18739"/>
      <w:bookmarkStart w:id="4" w:name="_Toc30243"/>
      <w:bookmarkStart w:id="5" w:name="_Toc24797"/>
      <w:bookmarkStart w:id="6" w:name="_Toc26909"/>
      <w:bookmarkStart w:id="7" w:name="_Toc286669457"/>
      <w:bookmarkStart w:id="8" w:name="_Toc27283"/>
      <w:bookmarkStart w:id="9" w:name="_Toc6982"/>
      <w:bookmarkStart w:id="10" w:name="_Toc395286772"/>
      <w:bookmarkStart w:id="11" w:name="_Toc530752895"/>
      <w:bookmarkStart w:id="12" w:name="_Toc27695"/>
      <w:bookmarkStart w:id="13" w:name="_Toc15143"/>
      <w:bookmarkStart w:id="14" w:name="_Toc532551487"/>
      <w:bookmarkStart w:id="15" w:name="_Toc286672148"/>
      <w:bookmarkStart w:id="16" w:name="_Toc4060"/>
      <w:bookmarkStart w:id="17" w:name="_Toc211484057"/>
      <w:bookmarkStart w:id="18" w:name="_Toc434256179"/>
      <w:bookmarkStart w:id="19" w:name="_Toc10017"/>
      <w:bookmarkStart w:id="20" w:name="_Toc337717041"/>
      <w:bookmarkStart w:id="21" w:name="_Toc286672141"/>
      <w:bookmarkStart w:id="22" w:name="_Toc524639635"/>
      <w:bookmarkStart w:id="23" w:name="_Toc335397765"/>
      <w:bookmarkStart w:id="24" w:name="_Toc31279"/>
      <w:bookmarkStart w:id="25" w:name="_Toc24975183"/>
      <w:bookmarkStart w:id="26" w:name="_Toc26548365"/>
      <w:bookmarkStart w:id="27" w:name="_Toc286669449"/>
      <w:r>
        <w:rPr>
          <w:rFonts w:ascii="Times New Roman" w:hAnsi="Times New Roman"/>
          <w:bCs/>
          <w:color w:val="auto"/>
          <w:sz w:val="32"/>
          <w:szCs w:val="24"/>
          <w:highlight w:val="none"/>
        </w:rPr>
        <w:t>（五）国家高新区企业及区外高新技术企业统计年报表</w:t>
      </w:r>
      <w:bookmarkEnd w:id="0"/>
    </w:p>
    <w:p>
      <w:pPr>
        <w:pStyle w:val="4"/>
        <w:rPr>
          <w:rFonts w:ascii="Times New Roman" w:hAnsi="Times New Roman"/>
          <w:bCs w:val="0"/>
          <w:color w:val="auto"/>
          <w:sz w:val="28"/>
          <w:szCs w:val="28"/>
          <w:highlight w:val="none"/>
        </w:rPr>
      </w:pPr>
      <w:bookmarkStart w:id="28" w:name="_Toc121734440"/>
      <w:r>
        <w:rPr>
          <w:rFonts w:ascii="Times New Roman" w:hAnsi="Times New Roman"/>
          <w:bCs w:val="0"/>
          <w:color w:val="auto"/>
          <w:sz w:val="28"/>
          <w:szCs w:val="28"/>
          <w:highlight w:val="none"/>
        </w:rPr>
        <w:t>企业概况</w:t>
      </w:r>
      <w:bookmarkEnd w:id="28"/>
    </w:p>
    <w:tbl>
      <w:tblPr>
        <w:tblStyle w:val="34"/>
        <w:tblW w:w="982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2610"/>
        <w:gridCol w:w="3315"/>
        <w:gridCol w:w="1050"/>
        <w:gridCol w:w="196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Times New Roman" w:hAnsi="Times New Roman"/>
                <w:bCs/>
                <w:color w:val="auto"/>
                <w:sz w:val="18"/>
                <w:szCs w:val="18"/>
                <w:highlight w:val="none"/>
              </w:rPr>
            </w:pP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表号：</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szCs w:val="18"/>
                <w:highlight w:val="none"/>
              </w:rPr>
              <w:t>ＧＱ－００１</w:t>
            </w:r>
            <w:r>
              <w:rPr>
                <w:rFonts w:ascii="Times New Roman" w:hAnsi="Times New Roman"/>
                <w:bCs/>
                <w:color w:val="auto"/>
                <w:sz w:val="18"/>
                <w:highlight w:val="none"/>
              </w:rPr>
              <w:t>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Times New Roman" w:hAnsi="Times New Roman"/>
                <w:bCs/>
                <w:color w:val="auto"/>
                <w:sz w:val="18"/>
                <w:szCs w:val="18"/>
                <w:highlight w:val="none"/>
              </w:rPr>
            </w:pP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制定机关：</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宋体" w:hAnsi="宋体"/>
                <w:bCs/>
                <w:color w:val="auto"/>
                <w:sz w:val="18"/>
                <w:szCs w:val="18"/>
                <w:highlight w:val="none"/>
              </w:rPr>
            </w:pP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批准机关：</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国家统计局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6806" w:type="dxa"/>
            <w:gridSpan w:val="3"/>
            <w:tcBorders>
              <w:top w:val="nil"/>
              <w:left w:val="nil"/>
              <w:bottom w:val="nil"/>
              <w:right w:val="nil"/>
            </w:tcBorders>
            <w:noWrap w:val="0"/>
            <w:vAlign w:val="center"/>
          </w:tcPr>
          <w:p>
            <w:pPr>
              <w:snapToGrid w:val="0"/>
              <w:spacing w:line="220" w:lineRule="exact"/>
              <w:jc w:val="left"/>
              <w:rPr>
                <w:rFonts w:ascii="宋体" w:hAnsi="宋体"/>
                <w:bCs/>
                <w:color w:val="auto"/>
                <w:sz w:val="18"/>
                <w:szCs w:val="18"/>
                <w:highlight w:val="none"/>
              </w:rPr>
            </w:pPr>
            <w:r>
              <w:rPr>
                <w:rFonts w:ascii="宋体" w:hAnsi="宋体"/>
                <w:bCs/>
                <w:color w:val="auto"/>
                <w:sz w:val="18"/>
                <w:szCs w:val="18"/>
                <w:highlight w:val="none"/>
              </w:rPr>
              <w:t>统一社会信用代码□□□□□□□□□□□□□□□□□□</w:t>
            </w:r>
          </w:p>
        </w:tc>
        <w:tc>
          <w:tcPr>
            <w:tcW w:w="1050" w:type="dxa"/>
            <w:tcBorders>
              <w:top w:val="nil"/>
              <w:left w:val="nil"/>
              <w:bottom w:val="nil"/>
              <w:right w:val="nil"/>
            </w:tcBorders>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83" w:hRule="atLeast"/>
          <w:jc w:val="center"/>
        </w:trPr>
        <w:tc>
          <w:tcPr>
            <w:tcW w:w="3491" w:type="dxa"/>
            <w:gridSpan w:val="2"/>
            <w:tcBorders>
              <w:top w:val="nil"/>
              <w:left w:val="nil"/>
              <w:bottom w:val="nil"/>
              <w:right w:val="nil"/>
            </w:tcBorders>
            <w:noWrap w:val="0"/>
            <w:vAlign w:val="center"/>
          </w:tcPr>
          <w:p>
            <w:pPr>
              <w:snapToGrid w:val="0"/>
              <w:spacing w:line="220" w:lineRule="exact"/>
              <w:jc w:val="left"/>
              <w:rPr>
                <w:rFonts w:ascii="Times New Roman" w:hAnsi="Times New Roman"/>
                <w:bCs/>
                <w:color w:val="auto"/>
                <w:sz w:val="18"/>
                <w:szCs w:val="18"/>
                <w:highlight w:val="none"/>
              </w:rPr>
            </w:pPr>
            <w:r>
              <w:rPr>
                <w:rFonts w:ascii="Times New Roman" w:hAnsi="Times New Roman"/>
                <w:bCs/>
                <w:color w:val="auto"/>
                <w:sz w:val="18"/>
                <w:szCs w:val="18"/>
                <w:highlight w:val="none"/>
              </w:rPr>
              <w:t>单位详细名称：</w:t>
            </w:r>
          </w:p>
        </w:tc>
        <w:tc>
          <w:tcPr>
            <w:tcW w:w="3315" w:type="dxa"/>
            <w:tcBorders>
              <w:top w:val="nil"/>
              <w:left w:val="nil"/>
              <w:bottom w:val="nil"/>
              <w:right w:val="nil"/>
            </w:tcBorders>
            <w:noWrap w:val="0"/>
            <w:vAlign w:val="center"/>
          </w:tcPr>
          <w:p>
            <w:pPr>
              <w:snapToGrid w:val="0"/>
              <w:spacing w:line="22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50" w:type="dxa"/>
            <w:tcBorders>
              <w:top w:val="nil"/>
              <w:left w:val="nil"/>
              <w:bottom w:val="nil"/>
              <w:right w:val="nil"/>
            </w:tcBorders>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65" w:type="dxa"/>
            <w:tcBorders>
              <w:top w:val="nil"/>
              <w:left w:val="nil"/>
              <w:bottom w:val="nil"/>
              <w:right w:val="nil"/>
            </w:tcBorders>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8"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rFonts w:hint="eastAsia"/>
                <w:bCs/>
                <w:color w:val="auto"/>
                <w:sz w:val="18"/>
                <w:szCs w:val="18"/>
                <w:highlight w:val="none"/>
              </w:rPr>
              <w:t>sName</w:t>
            </w:r>
          </w:p>
        </w:tc>
        <w:tc>
          <w:tcPr>
            <w:tcW w:w="8940" w:type="dxa"/>
            <w:gridSpan w:val="4"/>
            <w:tcBorders>
              <w:top w:val="single" w:color="auto" w:sz="8" w:space="0"/>
              <w:left w:val="single" w:color="auto" w:sz="2"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企业(单位)详细名称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sname_0</w:t>
            </w:r>
          </w:p>
        </w:tc>
        <w:tc>
          <w:tcPr>
            <w:tcW w:w="8940" w:type="dxa"/>
            <w:gridSpan w:val="4"/>
            <w:tcBorders>
              <w:top w:val="single" w:color="auto" w:sz="4" w:space="0"/>
              <w:left w:val="single" w:color="auto" w:sz="2"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企业(单位)英文名称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QA18</w:t>
            </w:r>
          </w:p>
        </w:tc>
        <w:tc>
          <w:tcPr>
            <w:tcW w:w="8940" w:type="dxa"/>
            <w:gridSpan w:val="4"/>
            <w:tcBorders>
              <w:top w:val="single" w:color="auto" w:sz="4" w:space="0"/>
              <w:left w:val="single" w:color="auto" w:sz="2" w:space="0"/>
              <w:bottom w:val="single" w:color="auto" w:sz="2"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ascii="宋体" w:hAnsi="宋体" w:cs="宋体"/>
                <w:bCs/>
                <w:color w:val="auto"/>
                <w:sz w:val="18"/>
                <w:szCs w:val="18"/>
                <w:highlight w:val="none"/>
              </w:rPr>
              <w:t>是否</w:t>
            </w:r>
            <w:r>
              <w:rPr>
                <w:rFonts w:ascii="宋体" w:hAnsi="宋体" w:cs="宋体"/>
                <w:bCs/>
                <w:color w:val="auto"/>
                <w:sz w:val="18"/>
                <w:szCs w:val="18"/>
                <w:highlight w:val="none"/>
              </w:rPr>
              <w:t>填写国家统计局一套表</w:t>
            </w:r>
            <w:r>
              <w:rPr>
                <w:rFonts w:hint="eastAsia" w:ascii="宋体" w:hAnsi="宋体" w:cs="宋体"/>
                <w:bCs/>
                <w:color w:val="auto"/>
                <w:sz w:val="18"/>
                <w:szCs w:val="18"/>
                <w:highlight w:val="none"/>
              </w:rPr>
              <w:t xml:space="preserve">  </w:t>
            </w:r>
            <w:r>
              <w:rPr>
                <w:rFonts w:ascii="宋体" w:hAnsi="宋体" w:cs="宋体"/>
                <w:bCs/>
                <w:color w:val="auto"/>
                <w:sz w:val="18"/>
                <w:szCs w:val="18"/>
                <w:highlight w:val="none"/>
              </w:rPr>
              <w:t>□  1.是  2.否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QA19</w:t>
            </w:r>
          </w:p>
        </w:tc>
        <w:tc>
          <w:tcPr>
            <w:tcW w:w="8940" w:type="dxa"/>
            <w:gridSpan w:val="4"/>
            <w:tcBorders>
              <w:top w:val="single" w:color="auto" w:sz="2" w:space="0"/>
              <w:left w:val="single" w:color="auto" w:sz="2" w:space="0"/>
              <w:bottom w:val="single" w:color="auto" w:sz="2" w:space="0"/>
              <w:right w:val="nil"/>
            </w:tcBorders>
            <w:noWrap w:val="0"/>
            <w:vAlign w:val="center"/>
          </w:tcPr>
          <w:p>
            <w:pPr>
              <w:snapToGrid w:val="0"/>
              <w:spacing w:line="280" w:lineRule="exact"/>
              <w:rPr>
                <w:rFonts w:ascii="Times New Roman" w:hAnsi="Times New Roman"/>
                <w:bCs/>
                <w:color w:val="auto"/>
                <w:szCs w:val="21"/>
                <w:highlight w:val="none"/>
              </w:rPr>
            </w:pPr>
            <w:r>
              <w:rPr>
                <w:rFonts w:hint="eastAsia"/>
                <w:bCs/>
                <w:color w:val="auto"/>
                <w:sz w:val="18"/>
                <w:szCs w:val="18"/>
                <w:highlight w:val="none"/>
              </w:rPr>
              <w:t>行政区划代码□□□□□□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4" w:space="0"/>
              <w:right w:val="single" w:color="auto" w:sz="2" w:space="0"/>
            </w:tcBorders>
            <w:noWrap w:val="0"/>
            <w:vAlign w:val="center"/>
          </w:tcPr>
          <w:p>
            <w:pPr>
              <w:snapToGrid w:val="0"/>
              <w:spacing w:line="280" w:lineRule="exact"/>
              <w:jc w:val="center"/>
              <w:rPr>
                <w:rFonts w:hint="default" w:ascii="Times New Roman" w:hAnsi="Times New Roman" w:eastAsia="宋体"/>
                <w:bCs/>
                <w:color w:val="auto"/>
                <w:sz w:val="18"/>
                <w:szCs w:val="18"/>
                <w:highlight w:val="none"/>
                <w:lang w:val="en-US" w:eastAsia="zh-CN"/>
              </w:rPr>
            </w:pPr>
            <w:r>
              <w:rPr>
                <w:bCs/>
                <w:color w:val="auto"/>
                <w:sz w:val="18"/>
                <w:szCs w:val="18"/>
                <w:highlight w:val="none"/>
              </w:rPr>
              <w:t>QA</w:t>
            </w:r>
            <w:r>
              <w:rPr>
                <w:rFonts w:hint="eastAsia"/>
                <w:bCs/>
                <w:color w:val="auto"/>
                <w:sz w:val="18"/>
                <w:szCs w:val="18"/>
                <w:highlight w:val="none"/>
                <w:lang w:val="en-US" w:eastAsia="zh-CN"/>
              </w:rPr>
              <w:t>15</w:t>
            </w:r>
          </w:p>
        </w:tc>
        <w:tc>
          <w:tcPr>
            <w:tcW w:w="8940" w:type="dxa"/>
            <w:gridSpan w:val="4"/>
            <w:tcBorders>
              <w:top w:val="single" w:color="auto" w:sz="2" w:space="0"/>
              <w:left w:val="single" w:color="auto" w:sz="2" w:space="0"/>
              <w:bottom w:val="single" w:color="auto" w:sz="4" w:space="0"/>
              <w:right w:val="nil"/>
            </w:tcBorders>
            <w:noWrap w:val="0"/>
            <w:vAlign w:val="center"/>
          </w:tcPr>
          <w:p>
            <w:pPr>
              <w:snapToGrid w:val="0"/>
              <w:spacing w:line="280" w:lineRule="exact"/>
              <w:rPr>
                <w:rFonts w:hint="eastAsia" w:ascii="Calibri" w:hAnsi="Calibri" w:cs="Times New Roman"/>
                <w:bCs/>
                <w:color w:val="auto"/>
                <w:sz w:val="18"/>
                <w:szCs w:val="18"/>
                <w:highlight w:val="none"/>
              </w:rPr>
            </w:pPr>
            <w:r>
              <w:rPr>
                <w:rFonts w:hint="eastAsia" w:ascii="Calibri" w:hAnsi="Calibri" w:cs="Times New Roman"/>
                <w:bCs/>
                <w:color w:val="auto"/>
                <w:sz w:val="18"/>
                <w:szCs w:val="18"/>
                <w:highlight w:val="none"/>
              </w:rPr>
              <w:t>机构类型    □□</w:t>
            </w:r>
          </w:p>
          <w:p>
            <w:pPr>
              <w:snapToGrid w:val="0"/>
              <w:spacing w:line="280" w:lineRule="exact"/>
              <w:rPr>
                <w:rFonts w:hint="eastAsia" w:ascii="Times New Roman" w:hAnsi="Times New Roman"/>
                <w:bCs/>
                <w:color w:val="auto"/>
                <w:kern w:val="2"/>
                <w:sz w:val="18"/>
                <w:szCs w:val="18"/>
                <w:highlight w:val="none"/>
                <w:lang w:val="en-US" w:eastAsia="zh-CN" w:bidi="ar-SA"/>
              </w:rPr>
            </w:pPr>
            <w:r>
              <w:rPr>
                <w:rFonts w:hint="eastAsia" w:ascii="Calibri" w:hAnsi="Calibri" w:cs="Times New Roman"/>
                <w:bCs/>
                <w:color w:val="auto"/>
                <w:sz w:val="18"/>
                <w:szCs w:val="18"/>
                <w:highlight w:val="none"/>
              </w:rPr>
              <w:t>10 企业   20 事业单位   40 社会团体   51 民办非企业单位</w:t>
            </w:r>
            <w:r>
              <w:rPr>
                <w:rFonts w:hint="eastAsia" w:ascii="Calibri" w:hAnsi="Calibri" w:cs="Times New Roman"/>
                <w:bCs/>
                <w:color w:val="auto"/>
                <w:sz w:val="18"/>
                <w:szCs w:val="18"/>
                <w:highlight w:val="none"/>
                <w:lang w:val="en-US" w:eastAsia="zh-CN"/>
              </w:rPr>
              <w:t xml:space="preserve">  </w:t>
            </w:r>
            <w:r>
              <w:rPr>
                <w:rFonts w:hint="eastAsia" w:ascii="Calibri" w:hAnsi="Calibri" w:cs="Times New Roman"/>
                <w:bCs/>
                <w:color w:val="auto"/>
                <w:sz w:val="18"/>
                <w:szCs w:val="18"/>
                <w:highlight w:val="none"/>
              </w:rPr>
              <w:t>90 其他组织机构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pPr>
              <w:snapToGrid w:val="0"/>
              <w:spacing w:line="280" w:lineRule="exact"/>
              <w:jc w:val="center"/>
              <w:rPr>
                <w:rFonts w:ascii="Times New Roman" w:hAnsi="Times New Roman"/>
                <w:bCs/>
                <w:color w:val="auto"/>
                <w:sz w:val="18"/>
                <w:szCs w:val="18"/>
                <w:highlight w:val="none"/>
              </w:rPr>
            </w:pPr>
            <w:r>
              <w:rPr>
                <w:rFonts w:hint="eastAsia"/>
                <w:bCs/>
                <w:color w:val="auto"/>
                <w:sz w:val="18"/>
                <w:szCs w:val="18"/>
                <w:highlight w:val="none"/>
              </w:rPr>
              <w:t>sAddress</w:t>
            </w:r>
            <w:r>
              <w:rPr>
                <w:bCs/>
                <w:color w:val="auto"/>
                <w:sz w:val="18"/>
                <w:szCs w:val="18"/>
                <w:highlight w:val="none"/>
              </w:rPr>
              <w:t>QA06</w:t>
            </w:r>
          </w:p>
        </w:tc>
        <w:tc>
          <w:tcPr>
            <w:tcW w:w="8940" w:type="dxa"/>
            <w:gridSpan w:val="4"/>
            <w:tcBorders>
              <w:top w:val="single" w:color="auto" w:sz="4" w:space="0"/>
              <w:left w:val="single" w:color="auto" w:sz="4" w:space="0"/>
              <w:bottom w:val="single" w:color="auto" w:sz="4"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rPr>
              <w:t>企业单位通讯地址（sAddress）</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邮政编码（QA06）□□□□□□</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QA07</w:t>
            </w:r>
          </w:p>
        </w:tc>
        <w:tc>
          <w:tcPr>
            <w:tcW w:w="8940" w:type="dxa"/>
            <w:gridSpan w:val="4"/>
            <w:tcBorders>
              <w:top w:val="single" w:color="auto" w:sz="4" w:space="0"/>
              <w:left w:val="single" w:color="auto" w:sz="4"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企业注册地址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QB07_2</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QB07_3</w:t>
            </w:r>
          </w:p>
        </w:tc>
        <w:tc>
          <w:tcPr>
            <w:tcW w:w="8940" w:type="dxa"/>
            <w:gridSpan w:val="4"/>
            <w:tcBorders>
              <w:top w:val="single" w:color="auto" w:sz="4" w:space="0"/>
              <w:left w:val="single" w:color="auto" w:sz="4" w:space="0"/>
              <w:bottom w:val="single" w:color="auto" w:sz="4" w:space="0"/>
              <w:right w:val="nil"/>
            </w:tcBorders>
            <w:shd w:val="clear" w:color="auto" w:fill="D9D9D9"/>
            <w:noWrap w:val="0"/>
            <w:vAlign w:val="center"/>
          </w:tcPr>
          <w:p>
            <w:pPr>
              <w:snapToGrid w:val="0"/>
              <w:spacing w:line="280" w:lineRule="exact"/>
              <w:rPr>
                <w:rFonts w:cs="宋体"/>
                <w:bCs/>
                <w:color w:val="auto"/>
                <w:sz w:val="18"/>
                <w:szCs w:val="18"/>
                <w:highlight w:val="none"/>
              </w:rPr>
            </w:pPr>
            <w:r>
              <w:rPr>
                <w:rFonts w:cs="宋体"/>
                <w:bCs/>
                <w:color w:val="auto"/>
                <w:sz w:val="18"/>
                <w:szCs w:val="18"/>
                <w:highlight w:val="none"/>
              </w:rPr>
              <w:t xml:space="preserve">企业注册地是否在国家高新技术产业开发区内（QB07_2）       </w:t>
            </w:r>
            <w:r>
              <w:rPr>
                <w:rFonts w:ascii="宋体" w:hAnsi="宋体" w:cs="宋体"/>
                <w:bCs/>
                <w:color w:val="auto"/>
                <w:sz w:val="18"/>
                <w:szCs w:val="18"/>
                <w:highlight w:val="none"/>
              </w:rPr>
              <w:t xml:space="preserve"> □</w:t>
            </w:r>
            <w:r>
              <w:rPr>
                <w:rFonts w:cs="宋体"/>
                <w:bCs/>
                <w:color w:val="auto"/>
                <w:sz w:val="18"/>
                <w:szCs w:val="18"/>
                <w:highlight w:val="none"/>
              </w:rPr>
              <w:t xml:space="preserve">  1.是  2.否</w:t>
            </w:r>
          </w:p>
          <w:p>
            <w:pPr>
              <w:snapToGrid w:val="0"/>
              <w:spacing w:line="280" w:lineRule="exact"/>
              <w:rPr>
                <w:bCs/>
                <w:color w:val="auto"/>
                <w:sz w:val="18"/>
                <w:szCs w:val="18"/>
                <w:highlight w:val="none"/>
              </w:rPr>
            </w:pPr>
            <w:r>
              <w:rPr>
                <w:rFonts w:cs="宋体"/>
                <w:bCs/>
                <w:color w:val="auto"/>
                <w:sz w:val="18"/>
                <w:szCs w:val="18"/>
                <w:highlight w:val="none"/>
              </w:rPr>
              <w:t xml:space="preserve">企业主要生产经营活动是否在国家高新技术产业开发区内（QB07_3） </w:t>
            </w:r>
            <w:r>
              <w:rPr>
                <w:rFonts w:ascii="宋体" w:hAnsi="宋体" w:cs="宋体"/>
                <w:bCs/>
                <w:color w:val="auto"/>
                <w:sz w:val="18"/>
                <w:szCs w:val="18"/>
                <w:highlight w:val="none"/>
              </w:rPr>
              <w:t xml:space="preserve"> □</w:t>
            </w:r>
            <w:r>
              <w:rPr>
                <w:rFonts w:cs="宋体"/>
                <w:bCs/>
                <w:color w:val="auto"/>
                <w:sz w:val="18"/>
                <w:szCs w:val="18"/>
                <w:highlight w:val="none"/>
              </w:rPr>
              <w:t xml:space="preserve">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tcBorders>
              <w:left w:val="nil"/>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QB08</w:t>
            </w:r>
          </w:p>
        </w:tc>
        <w:tc>
          <w:tcPr>
            <w:tcW w:w="8940" w:type="dxa"/>
            <w:gridSpan w:val="4"/>
            <w:tcBorders>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已进区企业被批准入区时间（QB08）□□□□年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4" w:space="0"/>
            </w:tcBorders>
            <w:noWrap w:val="0"/>
            <w:vAlign w:val="center"/>
          </w:tcPr>
          <w:p>
            <w:pPr>
              <w:snapToGrid w:val="0"/>
              <w:spacing w:line="280" w:lineRule="exact"/>
              <w:jc w:val="left"/>
              <w:rPr>
                <w:bCs/>
                <w:color w:val="auto"/>
                <w:sz w:val="18"/>
                <w:szCs w:val="18"/>
                <w:highlight w:val="none"/>
              </w:rPr>
            </w:pPr>
          </w:p>
          <w:p>
            <w:pPr>
              <w:snapToGrid w:val="0"/>
              <w:spacing w:line="280" w:lineRule="exact"/>
              <w:jc w:val="center"/>
              <w:rPr>
                <w:bCs/>
                <w:color w:val="auto"/>
                <w:sz w:val="18"/>
                <w:szCs w:val="18"/>
                <w:highlight w:val="none"/>
              </w:rPr>
            </w:pPr>
            <w:r>
              <w:rPr>
                <w:bCs/>
                <w:color w:val="auto"/>
                <w:sz w:val="18"/>
                <w:szCs w:val="18"/>
                <w:highlight w:val="none"/>
              </w:rPr>
              <w:t>QA08</w:t>
            </w:r>
          </w:p>
          <w:p>
            <w:pPr>
              <w:snapToGrid w:val="0"/>
              <w:spacing w:line="280" w:lineRule="exact"/>
              <w:jc w:val="center"/>
              <w:rPr>
                <w:bCs/>
                <w:color w:val="auto"/>
                <w:sz w:val="18"/>
                <w:szCs w:val="18"/>
                <w:highlight w:val="none"/>
              </w:rPr>
            </w:pPr>
            <w:r>
              <w:rPr>
                <w:bCs/>
                <w:color w:val="auto"/>
                <w:sz w:val="18"/>
                <w:szCs w:val="18"/>
                <w:highlight w:val="none"/>
              </w:rPr>
              <w:t>QA09</w:t>
            </w:r>
          </w:p>
          <w:p>
            <w:pPr>
              <w:snapToGrid w:val="0"/>
              <w:spacing w:line="280" w:lineRule="exact"/>
              <w:jc w:val="center"/>
              <w:rPr>
                <w:bCs/>
                <w:color w:val="auto"/>
                <w:sz w:val="18"/>
                <w:szCs w:val="18"/>
                <w:highlight w:val="none"/>
              </w:rPr>
            </w:pPr>
            <w:r>
              <w:rPr>
                <w:bCs/>
                <w:color w:val="auto"/>
                <w:sz w:val="18"/>
                <w:szCs w:val="18"/>
                <w:highlight w:val="none"/>
              </w:rPr>
              <w:t>QA20</w:t>
            </w:r>
          </w:p>
          <w:p>
            <w:pPr>
              <w:snapToGrid w:val="0"/>
              <w:spacing w:line="280" w:lineRule="exact"/>
              <w:jc w:val="center"/>
              <w:rPr>
                <w:bCs/>
                <w:color w:val="auto"/>
                <w:sz w:val="18"/>
                <w:szCs w:val="18"/>
                <w:highlight w:val="none"/>
              </w:rPr>
            </w:pPr>
            <w:r>
              <w:rPr>
                <w:bCs/>
                <w:color w:val="auto"/>
                <w:sz w:val="18"/>
                <w:szCs w:val="18"/>
                <w:highlight w:val="none"/>
              </w:rPr>
              <w:t>QA11</w:t>
            </w:r>
          </w:p>
          <w:p>
            <w:pPr>
              <w:snapToGrid w:val="0"/>
              <w:spacing w:line="280" w:lineRule="exact"/>
              <w:jc w:val="center"/>
              <w:rPr>
                <w:bCs/>
                <w:color w:val="auto"/>
                <w:sz w:val="18"/>
                <w:szCs w:val="18"/>
                <w:highlight w:val="none"/>
              </w:rPr>
            </w:pPr>
            <w:r>
              <w:rPr>
                <w:bCs/>
                <w:color w:val="auto"/>
                <w:sz w:val="18"/>
                <w:szCs w:val="18"/>
                <w:highlight w:val="none"/>
              </w:rPr>
              <w:t>QA17</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 xml:space="preserve">QA17_1 QA13 </w:t>
            </w:r>
          </w:p>
        </w:tc>
        <w:tc>
          <w:tcPr>
            <w:tcW w:w="8940" w:type="dxa"/>
            <w:gridSpan w:val="4"/>
            <w:tcBorders>
              <w:top w:val="single" w:color="auto" w:sz="4" w:space="0"/>
              <w:left w:val="single" w:color="auto" w:sz="4" w:space="0"/>
              <w:bottom w:val="single" w:color="auto" w:sz="4" w:space="0"/>
              <w:right w:val="nil"/>
            </w:tcBorders>
            <w:noWrap w:val="0"/>
            <w:vAlign w:val="center"/>
          </w:tcPr>
          <w:p>
            <w:pPr>
              <w:snapToGrid w:val="0"/>
              <w:spacing w:line="280" w:lineRule="exact"/>
              <w:jc w:val="left"/>
              <w:rPr>
                <w:bCs/>
                <w:color w:val="auto"/>
                <w:sz w:val="18"/>
                <w:szCs w:val="18"/>
                <w:highlight w:val="none"/>
              </w:rPr>
            </w:pPr>
            <w:r>
              <w:rPr>
                <w:rFonts w:hint="eastAsia"/>
                <w:bCs/>
                <w:color w:val="auto"/>
                <w:sz w:val="18"/>
                <w:szCs w:val="18"/>
                <w:highlight w:val="none"/>
              </w:rPr>
              <w:t>联系方式</w:t>
            </w:r>
          </w:p>
          <w:p>
            <w:pPr>
              <w:snapToGrid w:val="0"/>
              <w:spacing w:line="280" w:lineRule="exact"/>
              <w:jc w:val="left"/>
              <w:rPr>
                <w:bCs/>
                <w:color w:val="auto"/>
                <w:sz w:val="18"/>
                <w:szCs w:val="18"/>
                <w:highlight w:val="none"/>
              </w:rPr>
            </w:pPr>
            <w:r>
              <w:rPr>
                <w:rFonts w:hint="eastAsia"/>
                <w:bCs/>
                <w:color w:val="auto"/>
                <w:sz w:val="18"/>
                <w:szCs w:val="18"/>
                <w:highlight w:val="none"/>
              </w:rPr>
              <w:t>企业负责人（QA08）</w:t>
            </w:r>
          </w:p>
          <w:p>
            <w:pPr>
              <w:snapToGrid w:val="0"/>
              <w:spacing w:line="280" w:lineRule="exact"/>
              <w:rPr>
                <w:bCs/>
                <w:color w:val="auto"/>
                <w:sz w:val="18"/>
                <w:szCs w:val="18"/>
                <w:highlight w:val="none"/>
              </w:rPr>
            </w:pPr>
            <w:r>
              <w:rPr>
                <w:rFonts w:hint="eastAsia"/>
                <w:bCs/>
                <w:color w:val="auto"/>
                <w:sz w:val="18"/>
                <w:szCs w:val="18"/>
                <w:highlight w:val="none"/>
              </w:rPr>
              <w:t>联系电话（QA09）</w:t>
            </w:r>
          </w:p>
          <w:p>
            <w:pPr>
              <w:snapToGrid w:val="0"/>
              <w:spacing w:line="280" w:lineRule="exact"/>
              <w:rPr>
                <w:bCs/>
                <w:color w:val="auto"/>
                <w:sz w:val="18"/>
                <w:szCs w:val="18"/>
                <w:highlight w:val="none"/>
              </w:rPr>
            </w:pPr>
            <w:r>
              <w:rPr>
                <w:rFonts w:hint="eastAsia"/>
                <w:bCs/>
                <w:color w:val="auto"/>
                <w:sz w:val="18"/>
                <w:szCs w:val="18"/>
                <w:highlight w:val="none"/>
              </w:rPr>
              <w:t>统计负责人（QA20）</w:t>
            </w:r>
          </w:p>
          <w:p>
            <w:pPr>
              <w:snapToGrid w:val="0"/>
              <w:spacing w:line="280" w:lineRule="exact"/>
              <w:rPr>
                <w:bCs/>
                <w:color w:val="auto"/>
                <w:sz w:val="18"/>
                <w:szCs w:val="18"/>
                <w:highlight w:val="none"/>
              </w:rPr>
            </w:pPr>
            <w:r>
              <w:rPr>
                <w:rFonts w:hint="eastAsia"/>
                <w:bCs/>
                <w:color w:val="auto"/>
                <w:sz w:val="18"/>
                <w:szCs w:val="18"/>
                <w:highlight w:val="none"/>
              </w:rPr>
              <w:t>填报人（QA11）</w:t>
            </w:r>
          </w:p>
          <w:p>
            <w:pPr>
              <w:snapToGrid w:val="0"/>
              <w:spacing w:line="280" w:lineRule="exact"/>
              <w:rPr>
                <w:bCs/>
                <w:color w:val="auto"/>
                <w:sz w:val="18"/>
                <w:szCs w:val="18"/>
                <w:highlight w:val="none"/>
              </w:rPr>
            </w:pPr>
            <w:r>
              <w:rPr>
                <w:rFonts w:hint="eastAsia"/>
                <w:bCs/>
                <w:color w:val="auto"/>
                <w:sz w:val="18"/>
                <w:szCs w:val="18"/>
                <w:highlight w:val="none"/>
              </w:rPr>
              <w:t>填报人电话（QA17）</w:t>
            </w:r>
          </w:p>
          <w:p>
            <w:pPr>
              <w:snapToGrid w:val="0"/>
              <w:spacing w:line="280" w:lineRule="exact"/>
              <w:rPr>
                <w:bCs/>
                <w:color w:val="auto"/>
                <w:sz w:val="18"/>
                <w:szCs w:val="18"/>
                <w:highlight w:val="none"/>
              </w:rPr>
            </w:pPr>
            <w:r>
              <w:rPr>
                <w:rFonts w:hint="eastAsia"/>
                <w:bCs/>
                <w:color w:val="auto"/>
                <w:sz w:val="18"/>
                <w:szCs w:val="18"/>
                <w:highlight w:val="none"/>
              </w:rPr>
              <w:t>填报人手机（QA17_1）□□□□□□□□□□□</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email地址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QD19</w:t>
            </w:r>
          </w:p>
          <w:p>
            <w:pPr>
              <w:snapToGrid w:val="0"/>
              <w:spacing w:line="280" w:lineRule="exact"/>
              <w:jc w:val="center"/>
              <w:rPr>
                <w:bCs/>
                <w:color w:val="auto"/>
                <w:sz w:val="18"/>
                <w:szCs w:val="18"/>
                <w:highlight w:val="none"/>
              </w:rPr>
            </w:pPr>
            <w:r>
              <w:rPr>
                <w:bCs/>
                <w:color w:val="auto"/>
                <w:sz w:val="18"/>
                <w:szCs w:val="18"/>
                <w:highlight w:val="none"/>
              </w:rPr>
              <w:t>QD20</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QD22</w:t>
            </w:r>
          </w:p>
        </w:tc>
        <w:tc>
          <w:tcPr>
            <w:tcW w:w="8940" w:type="dxa"/>
            <w:gridSpan w:val="4"/>
            <w:tcBorders>
              <w:top w:val="single" w:color="auto" w:sz="4" w:space="0"/>
              <w:left w:val="single" w:color="auto" w:sz="2" w:space="0"/>
              <w:bottom w:val="single" w:color="auto" w:sz="2" w:space="0"/>
              <w:right w:val="nil"/>
            </w:tcBorders>
            <w:noWrap w:val="0"/>
            <w:vAlign w:val="center"/>
          </w:tcPr>
          <w:p>
            <w:pPr>
              <w:spacing w:line="280" w:lineRule="exact"/>
              <w:rPr>
                <w:bCs/>
                <w:color w:val="auto"/>
                <w:sz w:val="18"/>
                <w:szCs w:val="24"/>
                <w:highlight w:val="none"/>
              </w:rPr>
            </w:pPr>
            <w:r>
              <w:rPr>
                <w:rFonts w:hint="eastAsia"/>
                <w:bCs/>
                <w:color w:val="auto"/>
                <w:sz w:val="18"/>
                <w:szCs w:val="24"/>
                <w:highlight w:val="none"/>
              </w:rPr>
              <w:t>企业法人性别（QD19）</w:t>
            </w:r>
            <w:r>
              <w:rPr>
                <w:rFonts w:hint="eastAsia"/>
                <w:bCs/>
                <w:color w:val="auto"/>
                <w:sz w:val="18"/>
                <w:szCs w:val="18"/>
                <w:highlight w:val="none"/>
              </w:rPr>
              <w:t>□</w:t>
            </w:r>
            <w:r>
              <w:rPr>
                <w:rFonts w:hint="eastAsia"/>
                <w:bCs/>
                <w:color w:val="auto"/>
                <w:sz w:val="18"/>
                <w:szCs w:val="24"/>
                <w:highlight w:val="none"/>
              </w:rPr>
              <w:t xml:space="preserve">  1.男  2.女</w:t>
            </w:r>
          </w:p>
          <w:p>
            <w:pPr>
              <w:spacing w:line="280" w:lineRule="exact"/>
              <w:rPr>
                <w:bCs/>
                <w:color w:val="auto"/>
                <w:sz w:val="18"/>
                <w:szCs w:val="24"/>
                <w:highlight w:val="none"/>
              </w:rPr>
            </w:pPr>
            <w:r>
              <w:rPr>
                <w:rFonts w:hint="eastAsia"/>
                <w:bCs/>
                <w:color w:val="auto"/>
                <w:sz w:val="18"/>
                <w:szCs w:val="24"/>
                <w:highlight w:val="none"/>
              </w:rPr>
              <w:t xml:space="preserve">出生年份(QD20)           </w:t>
            </w:r>
            <w:r>
              <w:rPr>
                <w:rFonts w:hint="eastAsia"/>
                <w:bCs/>
                <w:color w:val="auto"/>
                <w:sz w:val="18"/>
                <w:szCs w:val="18"/>
                <w:highlight w:val="none"/>
              </w:rPr>
              <w:t>□□□□</w:t>
            </w:r>
            <w:r>
              <w:rPr>
                <w:rFonts w:hint="eastAsia"/>
                <w:bCs/>
                <w:color w:val="auto"/>
                <w:sz w:val="18"/>
                <w:szCs w:val="24"/>
                <w:highlight w:val="none"/>
              </w:rPr>
              <w:t>年</w:t>
            </w:r>
          </w:p>
          <w:p>
            <w:pPr>
              <w:snapToGrid w:val="0"/>
              <w:spacing w:line="280" w:lineRule="exact"/>
              <w:rPr>
                <w:rFonts w:ascii="Times New Roman" w:hAnsi="Times New Roman"/>
                <w:bCs/>
                <w:color w:val="auto"/>
                <w:sz w:val="18"/>
                <w:szCs w:val="18"/>
                <w:highlight w:val="none"/>
              </w:rPr>
            </w:pPr>
            <w:r>
              <w:rPr>
                <w:rFonts w:hint="eastAsia"/>
                <w:bCs/>
                <w:color w:val="auto"/>
                <w:sz w:val="18"/>
                <w:szCs w:val="24"/>
                <w:highlight w:val="none"/>
              </w:rPr>
              <w:t>学历(QD22)□11.博士12.硕士2.本科3.大专4.其他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QB21</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QB22</w:t>
            </w:r>
          </w:p>
        </w:tc>
        <w:tc>
          <w:tcPr>
            <w:tcW w:w="8940" w:type="dxa"/>
            <w:gridSpan w:val="4"/>
            <w:tcBorders>
              <w:top w:val="single" w:color="auto" w:sz="4" w:space="0"/>
              <w:left w:val="single" w:color="auto" w:sz="2" w:space="0"/>
              <w:bottom w:val="single" w:color="auto" w:sz="2" w:space="0"/>
              <w:right w:val="nil"/>
            </w:tcBorders>
            <w:shd w:val="clear" w:color="auto" w:fill="D9D9D9"/>
            <w:noWrap w:val="0"/>
            <w:vAlign w:val="center"/>
          </w:tcPr>
          <w:p>
            <w:pPr>
              <w:spacing w:line="280" w:lineRule="exact"/>
              <w:rPr>
                <w:rFonts w:ascii="宋体" w:hAnsi="宋体" w:cs="宋体"/>
                <w:bCs/>
                <w:color w:val="auto"/>
                <w:sz w:val="18"/>
                <w:szCs w:val="18"/>
                <w:highlight w:val="none"/>
              </w:rPr>
            </w:pPr>
            <w:r>
              <w:rPr>
                <w:rFonts w:hint="eastAsia" w:ascii="宋体" w:hAnsi="宋体" w:cs="宋体"/>
                <w:bCs/>
                <w:color w:val="auto"/>
                <w:sz w:val="18"/>
                <w:szCs w:val="18"/>
                <w:highlight w:val="none"/>
              </w:rPr>
              <w:t>企业是否进入国家自主创新示范区（</w:t>
            </w:r>
            <w:r>
              <w:rPr>
                <w:rFonts w:ascii="宋体" w:hAnsi="宋体" w:cs="宋体"/>
                <w:bCs/>
                <w:color w:val="auto"/>
                <w:sz w:val="18"/>
                <w:szCs w:val="18"/>
                <w:highlight w:val="none"/>
              </w:rPr>
              <w:t xml:space="preserve">QB21）   </w:t>
            </w:r>
            <w:r>
              <w:rPr>
                <w:rFonts w:hint="eastAsia" w:ascii="宋体" w:hAnsi="宋体" w:cs="宋体"/>
                <w:bCs/>
                <w:color w:val="auto"/>
                <w:sz w:val="18"/>
                <w:szCs w:val="18"/>
                <w:highlight w:val="none"/>
              </w:rPr>
              <w:t>□</w:t>
            </w:r>
            <w:r>
              <w:rPr>
                <w:rFonts w:ascii="宋体" w:hAnsi="宋体" w:cs="宋体"/>
                <w:bCs/>
                <w:color w:val="auto"/>
                <w:sz w:val="18"/>
                <w:szCs w:val="18"/>
                <w:highlight w:val="none"/>
              </w:rPr>
              <w:t xml:space="preserve">      1.是  2.否</w:t>
            </w:r>
          </w:p>
          <w:p>
            <w:pPr>
              <w:spacing w:line="280" w:lineRule="exact"/>
              <w:rPr>
                <w:rFonts w:ascii="Times New Roman" w:hAnsi="Times New Roman"/>
                <w:bCs/>
                <w:color w:val="auto"/>
                <w:sz w:val="18"/>
                <w:szCs w:val="18"/>
                <w:highlight w:val="none"/>
              </w:rPr>
            </w:pPr>
            <w:r>
              <w:rPr>
                <w:rFonts w:hint="eastAsia" w:ascii="宋体" w:hAnsi="宋体"/>
                <w:bCs/>
                <w:color w:val="auto"/>
                <w:sz w:val="18"/>
                <w:szCs w:val="24"/>
                <w:highlight w:val="none"/>
              </w:rPr>
              <w:t>如是，请选择所在自主创新示范区名称</w:t>
            </w:r>
            <w:r>
              <w:rPr>
                <w:rFonts w:hint="eastAsia" w:ascii="宋体" w:hAnsi="宋体" w:cs="宋体"/>
                <w:bCs/>
                <w:color w:val="auto"/>
                <w:sz w:val="18"/>
                <w:szCs w:val="18"/>
                <w:highlight w:val="none"/>
              </w:rPr>
              <w:t>（</w:t>
            </w:r>
            <w:r>
              <w:rPr>
                <w:rFonts w:ascii="宋体" w:hAnsi="宋体" w:cs="宋体"/>
                <w:bCs/>
                <w:color w:val="auto"/>
                <w:sz w:val="18"/>
                <w:szCs w:val="18"/>
                <w:highlight w:val="none"/>
              </w:rPr>
              <w:t xml:space="preserve">QB22）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shd w:val="clear" w:color="auto" w:fill="D9D9D9"/>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QA12</w:t>
            </w:r>
          </w:p>
        </w:tc>
        <w:tc>
          <w:tcPr>
            <w:tcW w:w="8940" w:type="dxa"/>
            <w:gridSpan w:val="4"/>
            <w:tcBorders>
              <w:top w:val="single" w:color="auto" w:sz="4" w:space="0"/>
              <w:left w:val="single" w:color="auto" w:sz="2" w:space="0"/>
              <w:bottom w:val="single" w:color="auto" w:sz="2" w:space="0"/>
              <w:right w:val="nil"/>
            </w:tcBorders>
            <w:shd w:val="clear" w:color="auto" w:fill="D9D9D9"/>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填报时间□□□□-□□-□□（由系统自动生成）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QB101</w:t>
            </w:r>
          </w:p>
        </w:tc>
        <w:tc>
          <w:tcPr>
            <w:tcW w:w="8940" w:type="dxa"/>
            <w:gridSpan w:val="4"/>
            <w:tcBorders>
              <w:top w:val="single" w:color="auto" w:sz="2" w:space="0"/>
              <w:left w:val="single" w:color="auto" w:sz="2" w:space="0"/>
              <w:bottom w:val="single" w:color="auto" w:sz="4" w:space="0"/>
              <w:right w:val="nil"/>
            </w:tcBorders>
            <w:noWrap w:val="0"/>
            <w:vAlign w:val="center"/>
          </w:tcPr>
          <w:p>
            <w:pPr>
              <w:snapToGrid w:val="0"/>
              <w:spacing w:line="280" w:lineRule="exact"/>
              <w:jc w:val="left"/>
              <w:rPr>
                <w:rFonts w:hint="eastAsia" w:eastAsia="宋体"/>
                <w:bCs/>
                <w:color w:val="auto"/>
                <w:sz w:val="18"/>
                <w:szCs w:val="18"/>
                <w:highlight w:val="none"/>
                <w:lang w:eastAsia="zh-CN"/>
              </w:rPr>
            </w:pPr>
            <w:r>
              <w:rPr>
                <w:rFonts w:hint="eastAsia"/>
                <w:bCs/>
                <w:color w:val="auto"/>
                <w:sz w:val="18"/>
                <w:szCs w:val="18"/>
                <w:highlight w:val="none"/>
              </w:rPr>
              <w:t>企业隶属关系：□□</w:t>
            </w:r>
          </w:p>
          <w:p>
            <w:pPr>
              <w:spacing w:line="280" w:lineRule="exact"/>
              <w:rPr>
                <w:rFonts w:ascii="Times New Roman" w:hAnsi="Times New Roman"/>
                <w:bCs/>
                <w:color w:val="auto"/>
                <w:sz w:val="18"/>
                <w:szCs w:val="18"/>
                <w:highlight w:val="none"/>
              </w:rPr>
            </w:pPr>
            <w:r>
              <w:rPr>
                <w:rFonts w:hint="eastAsia"/>
                <w:bCs/>
                <w:color w:val="auto"/>
                <w:sz w:val="18"/>
                <w:szCs w:val="18"/>
                <w:highlight w:val="none"/>
              </w:rPr>
              <w:t>10 中央       11 地方       90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ind w:firstLine="0" w:firstLineChars="0"/>
              <w:rPr>
                <w:bCs/>
                <w:color w:val="auto"/>
                <w:sz w:val="18"/>
                <w:szCs w:val="18"/>
                <w:highlight w:val="none"/>
              </w:rPr>
            </w:pPr>
            <w:r>
              <w:rPr>
                <w:bCs/>
                <w:color w:val="auto"/>
                <w:sz w:val="18"/>
                <w:szCs w:val="18"/>
                <w:highlight w:val="none"/>
              </w:rPr>
              <w:t>QB03_0</w:t>
            </w:r>
          </w:p>
          <w:p>
            <w:pPr>
              <w:snapToGrid w:val="0"/>
              <w:spacing w:line="280" w:lineRule="exact"/>
              <w:rPr>
                <w:bCs/>
                <w:color w:val="auto"/>
                <w:sz w:val="18"/>
                <w:szCs w:val="18"/>
                <w:highlight w:val="none"/>
              </w:rPr>
            </w:pPr>
          </w:p>
          <w:p>
            <w:pPr>
              <w:snapToGrid w:val="0"/>
              <w:spacing w:line="280" w:lineRule="exact"/>
              <w:rPr>
                <w:bCs/>
                <w:color w:val="auto"/>
                <w:sz w:val="18"/>
                <w:szCs w:val="18"/>
                <w:highlight w:val="none"/>
              </w:rPr>
            </w:pPr>
          </w:p>
          <w:p>
            <w:pPr>
              <w:snapToGrid w:val="0"/>
              <w:spacing w:line="280" w:lineRule="exact"/>
              <w:rPr>
                <w:rFonts w:ascii="Times New Roman" w:hAnsi="Times New Roman"/>
                <w:bCs/>
                <w:color w:val="auto"/>
                <w:sz w:val="18"/>
                <w:szCs w:val="18"/>
                <w:highlight w:val="none"/>
              </w:rPr>
            </w:pPr>
            <w:r>
              <w:rPr>
                <w:bCs/>
                <w:color w:val="auto"/>
                <w:sz w:val="18"/>
                <w:szCs w:val="18"/>
                <w:highlight w:val="none"/>
              </w:rPr>
              <w:t>QB03_1</w:t>
            </w:r>
          </w:p>
        </w:tc>
        <w:tc>
          <w:tcPr>
            <w:tcW w:w="8940" w:type="dxa"/>
            <w:gridSpan w:val="4"/>
            <w:tcBorders>
              <w:top w:val="single" w:color="auto" w:sz="4" w:space="0"/>
              <w:left w:val="single" w:color="auto" w:sz="2" w:space="0"/>
              <w:bottom w:val="single" w:color="auto" w:sz="4" w:space="0"/>
              <w:right w:val="nil"/>
            </w:tcBorders>
            <w:noWrap w:val="0"/>
            <w:vAlign w:val="center"/>
          </w:tcPr>
          <w:p>
            <w:pPr>
              <w:spacing w:line="280" w:lineRule="exact"/>
              <w:rPr>
                <w:bCs/>
                <w:color w:val="auto"/>
                <w:sz w:val="18"/>
                <w:szCs w:val="18"/>
                <w:highlight w:val="none"/>
              </w:rPr>
            </w:pPr>
            <w:r>
              <w:rPr>
                <w:rFonts w:hint="eastAsia"/>
                <w:bCs/>
                <w:color w:val="auto"/>
                <w:sz w:val="18"/>
                <w:szCs w:val="18"/>
                <w:highlight w:val="none"/>
              </w:rPr>
              <w:t>行业类别和代码</w:t>
            </w:r>
          </w:p>
          <w:p>
            <w:pPr>
              <w:snapToGrid w:val="0"/>
              <w:spacing w:line="280" w:lineRule="exact"/>
              <w:rPr>
                <w:bCs/>
                <w:color w:val="auto"/>
                <w:sz w:val="18"/>
                <w:szCs w:val="18"/>
                <w:highlight w:val="none"/>
              </w:rPr>
            </w:pPr>
            <w:r>
              <w:rPr>
                <w:rFonts w:hint="eastAsia"/>
                <w:bCs/>
                <w:color w:val="auto"/>
                <w:sz w:val="18"/>
                <w:szCs w:val="18"/>
                <w:highlight w:val="none"/>
              </w:rPr>
              <w:t>主要业务活动或主要产品（QB03_0）（请选择最主要的三项填报）</w:t>
            </w:r>
          </w:p>
          <w:p>
            <w:pPr>
              <w:snapToGrid w:val="0"/>
              <w:spacing w:line="280" w:lineRule="exact"/>
              <w:rPr>
                <w:bCs/>
                <w:color w:val="auto"/>
                <w:sz w:val="18"/>
                <w:szCs w:val="18"/>
                <w:highlight w:val="none"/>
                <w:u w:val="single"/>
              </w:rPr>
            </w:pPr>
            <w:r>
              <w:rPr>
                <w:rFonts w:hint="eastAsia"/>
                <w:bCs/>
                <w:color w:val="auto"/>
                <w:sz w:val="18"/>
                <w:szCs w:val="18"/>
                <w:highlight w:val="none"/>
              </w:rPr>
              <w:t>1（QB03_01）    2（QB03_02）   3（QB03_03）</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行业代码（QB03_1）根据国民经济行业分类</w:t>
            </w:r>
            <w:r>
              <w:rPr>
                <w:rFonts w:hint="eastAsia" w:ascii="宋体" w:hAnsi="宋体" w:eastAsia="宋体"/>
                <w:bCs/>
                <w:color w:val="auto"/>
                <w:sz w:val="18"/>
                <w:szCs w:val="18"/>
                <w:highlight w:val="none"/>
              </w:rPr>
              <w:t>(</w:t>
            </w:r>
            <w:r>
              <w:rPr>
                <w:rFonts w:hint="eastAsia"/>
                <w:bCs/>
                <w:color w:val="auto"/>
                <w:sz w:val="18"/>
                <w:szCs w:val="18"/>
                <w:highlight w:val="none"/>
              </w:rPr>
              <w:t>GB/T</w:t>
            </w:r>
            <w:r>
              <w:rPr>
                <w:bCs/>
                <w:color w:val="auto"/>
                <w:sz w:val="18"/>
                <w:szCs w:val="18"/>
                <w:highlight w:val="none"/>
              </w:rPr>
              <w:t xml:space="preserve"> 4754-2017</w:t>
            </w:r>
            <w:r>
              <w:rPr>
                <w:rFonts w:ascii="宋体" w:hAnsi="宋体" w:eastAsia="宋体"/>
                <w:bCs/>
                <w:color w:val="auto"/>
                <w:sz w:val="18"/>
                <w:szCs w:val="18"/>
                <w:highlight w:val="none"/>
              </w:rPr>
              <w:t>)</w:t>
            </w:r>
            <w:r>
              <w:rPr>
                <w:bCs/>
                <w:color w:val="auto"/>
                <w:sz w:val="18"/>
                <w:szCs w:val="18"/>
                <w:highlight w:val="none"/>
              </w:rPr>
              <w:t xml:space="preserve"> </w:t>
            </w:r>
            <w:r>
              <w:rPr>
                <w:rFonts w:hint="eastAsia"/>
                <w:bCs/>
                <w:color w:val="auto"/>
                <w:sz w:val="18"/>
                <w:szCs w:val="18"/>
                <w:highlight w:val="none"/>
              </w:rPr>
              <w:t>进行划分□□□□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QB20_1</w:t>
            </w:r>
          </w:p>
        </w:tc>
        <w:tc>
          <w:tcPr>
            <w:tcW w:w="8940" w:type="dxa"/>
            <w:gridSpan w:val="4"/>
            <w:tcBorders>
              <w:top w:val="single" w:color="auto" w:sz="4" w:space="0"/>
              <w:left w:val="single" w:color="auto" w:sz="2" w:space="0"/>
              <w:bottom w:val="single" w:color="auto" w:sz="4"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rPr>
              <w:t>执行会计标准类别</w:t>
            </w:r>
            <w:r>
              <w:rPr>
                <w:rFonts w:hint="eastAsia" w:ascii="宋体" w:hAnsi="宋体" w:eastAsia="宋体"/>
                <w:bCs/>
                <w:color w:val="auto"/>
                <w:sz w:val="18"/>
                <w:szCs w:val="18"/>
                <w:highlight w:val="none"/>
              </w:rPr>
              <w:t>(</w:t>
            </w:r>
            <w:r>
              <w:rPr>
                <w:bCs/>
                <w:color w:val="auto"/>
                <w:sz w:val="18"/>
                <w:szCs w:val="18"/>
                <w:highlight w:val="none"/>
              </w:rPr>
              <w:t>QB20_1</w:t>
            </w:r>
            <w:r>
              <w:rPr>
                <w:rFonts w:hint="eastAsia" w:ascii="宋体" w:hAnsi="宋体" w:eastAsia="宋体"/>
                <w:bCs/>
                <w:color w:val="auto"/>
                <w:sz w:val="18"/>
                <w:szCs w:val="18"/>
                <w:highlight w:val="none"/>
              </w:rPr>
              <w:t>)</w:t>
            </w:r>
            <w:r>
              <w:rPr>
                <w:rFonts w:hint="eastAsia"/>
                <w:bCs/>
                <w:color w:val="auto"/>
                <w:sz w:val="18"/>
                <w:szCs w:val="18"/>
                <w:highlight w:val="none"/>
              </w:rPr>
              <w:t>□</w:t>
            </w:r>
          </w:p>
          <w:p>
            <w:pPr>
              <w:snapToGrid w:val="0"/>
              <w:spacing w:line="280" w:lineRule="exact"/>
              <w:jc w:val="left"/>
              <w:rPr>
                <w:rFonts w:ascii="Times New Roman" w:hAnsi="Times New Roman"/>
                <w:bCs/>
                <w:color w:val="auto"/>
                <w:sz w:val="18"/>
                <w:szCs w:val="18"/>
                <w:highlight w:val="none"/>
              </w:rPr>
            </w:pPr>
            <w:r>
              <w:rPr>
                <w:bCs/>
                <w:color w:val="auto"/>
                <w:sz w:val="18"/>
                <w:szCs w:val="18"/>
                <w:highlight w:val="none"/>
              </w:rPr>
              <w:t xml:space="preserve">1 </w:t>
            </w:r>
            <w:r>
              <w:rPr>
                <w:rFonts w:hint="eastAsia"/>
                <w:bCs/>
                <w:color w:val="auto"/>
                <w:sz w:val="18"/>
                <w:szCs w:val="18"/>
                <w:highlight w:val="none"/>
              </w:rPr>
              <w:t>企业会计准则制度</w:t>
            </w:r>
            <w:r>
              <w:rPr>
                <w:bCs/>
                <w:color w:val="auto"/>
                <w:sz w:val="18"/>
                <w:szCs w:val="18"/>
                <w:highlight w:val="none"/>
              </w:rPr>
              <w:t xml:space="preserve">    2 </w:t>
            </w:r>
            <w:r>
              <w:rPr>
                <w:rFonts w:hint="eastAsia"/>
                <w:bCs/>
                <w:color w:val="auto"/>
                <w:sz w:val="18"/>
                <w:szCs w:val="18"/>
                <w:highlight w:val="none"/>
              </w:rPr>
              <w:t>政府会计准则制度</w:t>
            </w:r>
            <w:r>
              <w:rPr>
                <w:bCs/>
                <w:color w:val="auto"/>
                <w:sz w:val="18"/>
                <w:szCs w:val="18"/>
                <w:highlight w:val="none"/>
              </w:rPr>
              <w:t xml:space="preserve">    4 </w:t>
            </w:r>
            <w:r>
              <w:rPr>
                <w:rFonts w:hint="eastAsia"/>
                <w:bCs/>
                <w:color w:val="auto"/>
                <w:sz w:val="18"/>
                <w:szCs w:val="18"/>
                <w:highlight w:val="none"/>
              </w:rPr>
              <w:t>民间非营利组织会计制度</w:t>
            </w:r>
            <w:r>
              <w:rPr>
                <w:bCs/>
                <w:color w:val="auto"/>
                <w:sz w:val="18"/>
                <w:szCs w:val="18"/>
                <w:highlight w:val="none"/>
              </w:rPr>
              <w:t xml:space="preserve">    9 </w:t>
            </w:r>
            <w:r>
              <w:rPr>
                <w:rFonts w:hint="eastAsia"/>
                <w:bCs/>
                <w:color w:val="auto"/>
                <w:sz w:val="18"/>
                <w:szCs w:val="18"/>
                <w:highlight w:val="none"/>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8"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QB20</w:t>
            </w:r>
          </w:p>
        </w:tc>
        <w:tc>
          <w:tcPr>
            <w:tcW w:w="8940" w:type="dxa"/>
            <w:gridSpan w:val="4"/>
            <w:tcBorders>
              <w:top w:val="single" w:color="auto" w:sz="4" w:space="0"/>
              <w:left w:val="single" w:color="auto" w:sz="2" w:space="0"/>
              <w:bottom w:val="single" w:color="auto" w:sz="8"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rPr>
              <w:t>执行企业会计准则情况□</w:t>
            </w:r>
          </w:p>
          <w:p>
            <w:pPr>
              <w:numPr>
                <w:ilvl w:val="0"/>
                <w:numId w:val="0"/>
              </w:numPr>
              <w:snapToGrid w:val="0"/>
              <w:spacing w:line="280" w:lineRule="exact"/>
              <w:ind w:left="0" w:leftChars="0" w:firstLine="0" w:firstLineChars="0"/>
              <w:rPr>
                <w:bCs/>
                <w:color w:val="auto"/>
                <w:sz w:val="18"/>
                <w:szCs w:val="18"/>
                <w:highlight w:val="none"/>
              </w:rPr>
            </w:pPr>
            <w:r>
              <w:rPr>
                <w:rFonts w:hint="eastAsia"/>
                <w:bCs/>
                <w:color w:val="auto"/>
                <w:sz w:val="18"/>
                <w:szCs w:val="18"/>
                <w:highlight w:val="none"/>
                <w:lang w:val="en-US" w:eastAsia="zh-CN"/>
              </w:rPr>
              <w:t xml:space="preserve">1 </w:t>
            </w:r>
            <w:r>
              <w:rPr>
                <w:rFonts w:hint="eastAsia"/>
                <w:bCs/>
                <w:color w:val="auto"/>
                <w:sz w:val="18"/>
                <w:szCs w:val="18"/>
                <w:highlight w:val="none"/>
              </w:rPr>
              <w:t xml:space="preserve">执行《企业会计准则》    </w:t>
            </w:r>
            <w:r>
              <w:rPr>
                <w:rFonts w:hint="eastAsia"/>
                <w:bCs/>
                <w:color w:val="auto"/>
                <w:sz w:val="18"/>
                <w:szCs w:val="18"/>
                <w:highlight w:val="none"/>
                <w:lang w:eastAsia="zh-CN"/>
              </w:rPr>
              <w:t>2</w:t>
            </w:r>
            <w:r>
              <w:rPr>
                <w:rFonts w:hint="eastAsia"/>
                <w:bCs/>
                <w:color w:val="auto"/>
                <w:sz w:val="18"/>
                <w:szCs w:val="18"/>
                <w:highlight w:val="none"/>
                <w:lang w:val="en-US" w:eastAsia="zh-CN"/>
              </w:rPr>
              <w:t xml:space="preserve"> </w:t>
            </w:r>
            <w:r>
              <w:rPr>
                <w:rFonts w:hint="eastAsia"/>
                <w:bCs/>
                <w:color w:val="auto"/>
                <w:sz w:val="18"/>
                <w:szCs w:val="18"/>
                <w:highlight w:val="none"/>
              </w:rPr>
              <w:t xml:space="preserve">执行《小企业会计准则》 </w:t>
            </w:r>
            <w:r>
              <w:rPr>
                <w:rFonts w:hint="eastAsia"/>
                <w:bCs/>
                <w:color w:val="auto"/>
                <w:sz w:val="18"/>
                <w:szCs w:val="18"/>
                <w:highlight w:val="none"/>
                <w:lang w:val="en-US" w:eastAsia="zh-CN"/>
              </w:rPr>
              <w:t xml:space="preserve">   </w:t>
            </w:r>
            <w:r>
              <w:rPr>
                <w:rFonts w:hint="eastAsia" w:ascii="Nimbus Roman No9 L" w:hAnsi="Nimbus Roman No9 L" w:cs="Nimbus Roman No9 L"/>
                <w:color w:val="auto"/>
                <w:sz w:val="18"/>
                <w:szCs w:val="18"/>
                <w:highlight w:val="none"/>
              </w:rPr>
              <w:t>3</w:t>
            </w:r>
            <w:r>
              <w:rPr>
                <w:rFonts w:ascii="Nimbus Roman No9 L" w:hAnsi="Nimbus Roman No9 L" w:cs="Nimbus Roman No9 L"/>
                <w:color w:val="auto"/>
                <w:sz w:val="18"/>
                <w:szCs w:val="18"/>
                <w:highlight w:val="none"/>
              </w:rPr>
              <w:t xml:space="preserve"> </w:t>
            </w:r>
            <w:r>
              <w:rPr>
                <w:rFonts w:hint="eastAsia" w:ascii="Nimbus Roman No9 L" w:hAnsi="Nimbus Roman No9 L" w:cs="Nimbus Roman No9 L"/>
                <w:color w:val="auto"/>
                <w:sz w:val="18"/>
                <w:szCs w:val="18"/>
                <w:highlight w:val="none"/>
              </w:rPr>
              <w:t>执行《企业会计制度》</w:t>
            </w:r>
          </w:p>
        </w:tc>
      </w:tr>
    </w:tbl>
    <w:p>
      <w:pPr>
        <w:rPr>
          <w:color w:val="auto"/>
          <w:highlight w:val="none"/>
        </w:rPr>
      </w:pPr>
    </w:p>
    <w:p>
      <w:pPr>
        <w:snapToGrid w:val="0"/>
        <w:spacing w:line="240" w:lineRule="exact"/>
        <w:rPr>
          <w:rFonts w:hint="eastAsia" w:ascii="Times New Roman" w:hAnsi="Times New Roman" w:eastAsia="宋体" w:cs="Times New Roman"/>
          <w:bCs/>
          <w:color w:val="auto"/>
          <w:sz w:val="18"/>
          <w:szCs w:val="18"/>
          <w:highlight w:val="none"/>
          <w:lang w:eastAsia="zh-CN"/>
        </w:rPr>
      </w:pPr>
      <w:r>
        <w:rPr>
          <w:rFonts w:hint="eastAsia" w:ascii="Times New Roman" w:hAnsi="Times New Roman" w:eastAsia="宋体" w:cs="Times New Roman"/>
          <w:bCs/>
          <w:color w:val="auto"/>
          <w:sz w:val="18"/>
          <w:szCs w:val="18"/>
          <w:highlight w:val="none"/>
          <w:lang w:eastAsia="zh-CN"/>
        </w:rPr>
        <w:t>续表一：</w:t>
      </w:r>
    </w:p>
    <w:tbl>
      <w:tblPr>
        <w:tblStyle w:val="34"/>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000000" w:sz="8" w:space="0"/>
              <w:left w:val="nil"/>
              <w:bottom w:val="single" w:color="000000" w:sz="4" w:space="0"/>
              <w:right w:val="single" w:color="auto" w:sz="2"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QB04</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QB04_0</w:t>
            </w:r>
          </w:p>
        </w:tc>
        <w:tc>
          <w:tcPr>
            <w:tcW w:w="8974" w:type="dxa"/>
            <w:tcBorders>
              <w:top w:val="single" w:color="000000" w:sz="8" w:space="0"/>
              <w:left w:val="single" w:color="auto" w:sz="2" w:space="0"/>
              <w:bottom w:val="single" w:color="000000" w:sz="4" w:space="0"/>
              <w:right w:val="nil"/>
            </w:tcBorders>
            <w:shd w:val="clear" w:color="auto" w:fill="D9D9D9"/>
            <w:noWrap w:val="0"/>
            <w:vAlign w:val="center"/>
          </w:tcPr>
          <w:p>
            <w:pPr>
              <w:snapToGrid w:val="0"/>
              <w:spacing w:line="280" w:lineRule="exact"/>
              <w:jc w:val="left"/>
              <w:rPr>
                <w:rFonts w:ascii="宋体" w:hAnsi="宋体"/>
                <w:bCs/>
                <w:color w:val="auto"/>
                <w:sz w:val="18"/>
                <w:szCs w:val="18"/>
                <w:highlight w:val="none"/>
                <w:u w:val="single"/>
              </w:rPr>
            </w:pPr>
            <w:r>
              <w:rPr>
                <w:rFonts w:hint="eastAsia" w:ascii="宋体" w:hAnsi="宋体"/>
                <w:bCs/>
                <w:color w:val="auto"/>
                <w:sz w:val="18"/>
                <w:szCs w:val="18"/>
                <w:highlight w:val="none"/>
              </w:rPr>
              <w:t>企业注册时间（</w:t>
            </w:r>
            <w:r>
              <w:rPr>
                <w:rFonts w:ascii="Calibri" w:hAnsi="Calibri"/>
                <w:bCs/>
                <w:color w:val="auto"/>
                <w:sz w:val="18"/>
                <w:szCs w:val="18"/>
                <w:highlight w:val="none"/>
              </w:rPr>
              <w:t>QB04</w:t>
            </w:r>
            <w:r>
              <w:rPr>
                <w:rFonts w:ascii="宋体" w:hAnsi="宋体"/>
                <w:bCs/>
                <w:color w:val="auto"/>
                <w:sz w:val="18"/>
                <w:szCs w:val="18"/>
                <w:highlight w:val="none"/>
              </w:rPr>
              <w:t xml:space="preserve">）：  </w:t>
            </w:r>
            <w:r>
              <w:rPr>
                <w:rFonts w:hint="eastAsia" w:ascii="宋体" w:hAnsi="宋体" w:cs="宋体"/>
                <w:bCs/>
                <w:color w:val="auto"/>
                <w:sz w:val="18"/>
                <w:szCs w:val="18"/>
                <w:highlight w:val="none"/>
              </w:rPr>
              <w:t>□□□□</w:t>
            </w:r>
            <w:r>
              <w:rPr>
                <w:rFonts w:hint="eastAsia" w:ascii="宋体" w:hAnsi="宋体"/>
                <w:bCs/>
                <w:color w:val="auto"/>
                <w:sz w:val="18"/>
                <w:szCs w:val="18"/>
                <w:highlight w:val="none"/>
              </w:rPr>
              <w:t>年</w:t>
            </w:r>
          </w:p>
          <w:p>
            <w:pPr>
              <w:snapToGrid w:val="0"/>
              <w:spacing w:line="280" w:lineRule="exact"/>
              <w:rPr>
                <w:rFonts w:ascii="Times New Roman" w:hAnsi="Times New Roman"/>
                <w:bCs/>
                <w:color w:val="auto"/>
                <w:sz w:val="18"/>
                <w:szCs w:val="18"/>
                <w:highlight w:val="none"/>
              </w:rPr>
            </w:pPr>
            <w:r>
              <w:rPr>
                <w:rFonts w:hint="eastAsia" w:ascii="宋体" w:hAnsi="宋体" w:cs="宋体"/>
                <w:bCs/>
                <w:color w:val="auto"/>
                <w:sz w:val="18"/>
                <w:szCs w:val="18"/>
                <w:highlight w:val="none"/>
              </w:rPr>
              <w:t>注册资金（</w:t>
            </w:r>
            <w:r>
              <w:rPr>
                <w:rFonts w:ascii="Calibri" w:hAnsi="Calibri" w:cs="宋体"/>
                <w:bCs/>
                <w:color w:val="auto"/>
                <w:sz w:val="18"/>
                <w:szCs w:val="18"/>
                <w:highlight w:val="none"/>
              </w:rPr>
              <w:t>QB04_0</w:t>
            </w:r>
            <w:r>
              <w:rPr>
                <w:rFonts w:ascii="宋体" w:hAnsi="宋体" w:cs="宋体"/>
                <w:bCs/>
                <w:color w:val="auto"/>
                <w:sz w:val="18"/>
                <w:szCs w:val="18"/>
                <w:highlight w:val="none"/>
              </w:rPr>
              <w:t>）</w:t>
            </w:r>
            <w:r>
              <w:rPr>
                <w:rFonts w:hint="eastAsia" w:ascii="宋体" w:hAnsi="宋体" w:cs="宋体"/>
                <w:bCs/>
                <w:color w:val="auto"/>
                <w:sz w:val="18"/>
                <w:szCs w:val="18"/>
                <w:highlight w:val="none"/>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000000" w:sz="4" w:space="0"/>
              <w:left w:val="nil"/>
              <w:bottom w:val="single" w:color="auto" w:sz="4" w:space="0"/>
              <w:right w:val="single" w:color="auto" w:sz="2" w:space="0"/>
            </w:tcBorders>
            <w:noWrap w:val="0"/>
            <w:vAlign w:val="center"/>
          </w:tcPr>
          <w:p>
            <w:pPr>
              <w:snapToGrid w:val="0"/>
              <w:spacing w:line="280" w:lineRule="exact"/>
              <w:jc w:val="center"/>
              <w:rPr>
                <w:rFonts w:hint="default" w:ascii="Times New Roman" w:hAnsi="Times New Roman" w:eastAsia="宋体"/>
                <w:bCs/>
                <w:color w:val="auto"/>
                <w:sz w:val="18"/>
                <w:szCs w:val="18"/>
                <w:highlight w:val="none"/>
                <w:lang w:val="en-US" w:eastAsia="zh-CN"/>
              </w:rPr>
            </w:pPr>
            <w:r>
              <w:rPr>
                <w:bCs/>
                <w:color w:val="auto"/>
                <w:sz w:val="18"/>
                <w:szCs w:val="18"/>
                <w:highlight w:val="none"/>
              </w:rPr>
              <w:t>QB</w:t>
            </w:r>
            <w:r>
              <w:rPr>
                <w:rFonts w:hint="eastAsia"/>
                <w:bCs/>
                <w:color w:val="auto"/>
                <w:sz w:val="18"/>
                <w:szCs w:val="18"/>
                <w:highlight w:val="none"/>
                <w:lang w:val="en-US" w:eastAsia="zh-CN"/>
              </w:rPr>
              <w:t>06</w:t>
            </w:r>
          </w:p>
        </w:tc>
        <w:tc>
          <w:tcPr>
            <w:tcW w:w="8974" w:type="dxa"/>
            <w:tcBorders>
              <w:top w:val="single" w:color="000000" w:sz="4" w:space="0"/>
              <w:left w:val="single" w:color="auto" w:sz="2" w:space="0"/>
              <w:bottom w:val="single" w:color="auto" w:sz="4" w:space="0"/>
              <w:right w:val="nil"/>
            </w:tcBorders>
            <w:noWrap w:val="0"/>
            <w:vAlign w:val="center"/>
          </w:tcPr>
          <w:p>
            <w:pPr>
              <w:widowControl/>
              <w:snapToGrid w:val="0"/>
              <w:spacing w:line="280" w:lineRule="exact"/>
              <w:rPr>
                <w:bCs/>
                <w:color w:val="auto"/>
                <w:sz w:val="18"/>
                <w:szCs w:val="18"/>
                <w:highlight w:val="none"/>
              </w:rPr>
            </w:pPr>
            <w:r>
              <w:rPr>
                <w:rFonts w:hint="eastAsia"/>
                <w:bCs/>
                <w:color w:val="auto"/>
                <w:sz w:val="18"/>
                <w:szCs w:val="18"/>
                <w:highlight w:val="none"/>
              </w:rPr>
              <w:t>登记注册</w:t>
            </w:r>
            <w:r>
              <w:rPr>
                <w:rFonts w:hint="eastAsia"/>
                <w:bCs/>
                <w:color w:val="auto"/>
                <w:sz w:val="18"/>
                <w:szCs w:val="18"/>
                <w:highlight w:val="none"/>
                <w:lang w:eastAsia="zh-CN"/>
              </w:rPr>
              <w:t>统计类别</w:t>
            </w:r>
            <w:r>
              <w:rPr>
                <w:rFonts w:hint="eastAsia"/>
                <w:bCs/>
                <w:color w:val="auto"/>
                <w:sz w:val="18"/>
                <w:szCs w:val="18"/>
                <w:highlight w:val="none"/>
              </w:rPr>
              <w:t>（QB</w:t>
            </w:r>
            <w:r>
              <w:rPr>
                <w:rFonts w:hint="eastAsia"/>
                <w:bCs/>
                <w:color w:val="auto"/>
                <w:sz w:val="18"/>
                <w:szCs w:val="18"/>
                <w:highlight w:val="none"/>
                <w:lang w:val="en-US" w:eastAsia="zh-CN"/>
              </w:rPr>
              <w:t>06</w:t>
            </w:r>
            <w:r>
              <w:rPr>
                <w:rFonts w:hint="eastAsia"/>
                <w:bCs/>
                <w:color w:val="auto"/>
                <w:sz w:val="18"/>
                <w:szCs w:val="18"/>
                <w:highlight w:val="none"/>
              </w:rPr>
              <w:t>）□□□</w:t>
            </w:r>
          </w:p>
          <w:p>
            <w:pPr>
              <w:tabs>
                <w:tab w:val="left" w:pos="630"/>
              </w:tabs>
              <w:spacing w:line="280" w:lineRule="exact"/>
              <w:rPr>
                <w:rFonts w:ascii="宋体" w:hAnsi="宋体" w:cs="Nimbus Roman No9 L"/>
                <w:color w:val="auto"/>
                <w:sz w:val="18"/>
                <w:szCs w:val="18"/>
                <w:highlight w:val="none"/>
              </w:rPr>
            </w:pPr>
            <w:r>
              <w:rPr>
                <w:rFonts w:ascii="宋体" w:hAnsi="宋体" w:cs="Nimbus Roman No9 L"/>
                <w:b/>
                <w:bCs/>
                <w:color w:val="auto"/>
                <w:sz w:val="18"/>
                <w:szCs w:val="18"/>
                <w:highlight w:val="none"/>
              </w:rPr>
              <w:t>内资企业</w:t>
            </w:r>
          </w:p>
          <w:p>
            <w:pPr>
              <w:tabs>
                <w:tab w:val="left" w:pos="630"/>
              </w:tabs>
              <w:spacing w:line="280" w:lineRule="exact"/>
              <w:ind w:firstLine="180" w:firstLineChars="100"/>
              <w:rPr>
                <w:rFonts w:ascii="宋体" w:hAnsi="宋体" w:cs="Nimbus Roman No9 L"/>
                <w:color w:val="auto"/>
                <w:sz w:val="18"/>
                <w:szCs w:val="18"/>
                <w:highlight w:val="none"/>
                <w:lang w:val="en"/>
              </w:rPr>
            </w:pPr>
            <w:r>
              <w:rPr>
                <w:rFonts w:ascii="宋体" w:hAnsi="宋体" w:cs="Nimbus Roman No9 L"/>
                <w:color w:val="auto"/>
                <w:sz w:val="18"/>
                <w:szCs w:val="18"/>
                <w:highlight w:val="none"/>
                <w:lang w:val="en"/>
              </w:rPr>
              <w:t xml:space="preserve">111 国有独资公司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 xml:space="preserve">112 私营有限责任公司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119 其他有限责任公司</w:t>
            </w:r>
          </w:p>
          <w:p>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121 私营股份有限公司 129 其他股份有限公司</w:t>
            </w:r>
          </w:p>
          <w:p>
            <w:pPr>
              <w:tabs>
                <w:tab w:val="left" w:pos="630"/>
              </w:tabs>
              <w:spacing w:line="280" w:lineRule="exact"/>
              <w:ind w:firstLine="180" w:firstLineChars="100"/>
              <w:rPr>
                <w:rFonts w:hint="eastAsia" w:ascii="宋体" w:hAnsi="宋体" w:cs="Nimbus Roman No9 L"/>
                <w:color w:val="auto"/>
                <w:sz w:val="18"/>
                <w:szCs w:val="18"/>
                <w:highlight w:val="none"/>
              </w:rPr>
            </w:pPr>
            <w:r>
              <w:rPr>
                <w:rFonts w:ascii="宋体" w:hAnsi="宋体" w:cs="Nimbus Roman No9 L"/>
                <w:color w:val="auto"/>
                <w:sz w:val="18"/>
                <w:szCs w:val="18"/>
                <w:highlight w:val="none"/>
              </w:rPr>
              <w:t>131 全民所有制企业（国有企业）</w:t>
            </w:r>
            <w:r>
              <w:rPr>
                <w:rFonts w:hint="eastAsia" w:ascii="宋体" w:hAnsi="宋体" w:cs="Nimbus Roman No9 L"/>
                <w:color w:val="auto"/>
                <w:sz w:val="18"/>
                <w:szCs w:val="18"/>
                <w:highlight w:val="none"/>
              </w:rPr>
              <w:t xml:space="preserve">     132 集体所有制企业（集体企业） 133 股份合作企业 134 联营企业</w:t>
            </w:r>
          </w:p>
          <w:p>
            <w:pPr>
              <w:tabs>
                <w:tab w:val="left" w:pos="630"/>
              </w:tabs>
              <w:spacing w:line="280" w:lineRule="exact"/>
              <w:ind w:firstLine="180" w:firstLineChars="100"/>
              <w:rPr>
                <w:rFonts w:ascii="宋体" w:hAnsi="宋体" w:cs="Nimbus Roman No9 L"/>
                <w:color w:val="auto"/>
                <w:sz w:val="18"/>
                <w:szCs w:val="18"/>
                <w:highlight w:val="none"/>
                <w:lang w:val="en"/>
              </w:rPr>
            </w:pPr>
            <w:r>
              <w:rPr>
                <w:rFonts w:ascii="宋体" w:hAnsi="宋体" w:cs="Nimbus Roman No9 L"/>
                <w:color w:val="auto"/>
                <w:sz w:val="18"/>
                <w:szCs w:val="18"/>
                <w:highlight w:val="none"/>
              </w:rPr>
              <w:t>140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个人独资企业</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150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合伙企业</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190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其他内资企业</w:t>
            </w:r>
          </w:p>
          <w:p>
            <w:pPr>
              <w:tabs>
                <w:tab w:val="left" w:pos="630"/>
              </w:tabs>
              <w:spacing w:line="280" w:lineRule="exact"/>
              <w:rPr>
                <w:rFonts w:ascii="宋体" w:hAnsi="宋体" w:cs="Nimbus Roman No9 L"/>
                <w:color w:val="auto"/>
                <w:sz w:val="18"/>
                <w:szCs w:val="18"/>
                <w:highlight w:val="none"/>
                <w:lang w:val="en"/>
              </w:rPr>
            </w:pPr>
            <w:r>
              <w:rPr>
                <w:rFonts w:ascii="宋体" w:hAnsi="宋体" w:cs="Nimbus Roman No9 L"/>
                <w:b/>
                <w:bCs/>
                <w:color w:val="auto"/>
                <w:sz w:val="18"/>
                <w:szCs w:val="18"/>
                <w:highlight w:val="none"/>
              </w:rPr>
              <w:t>港澳台</w:t>
            </w:r>
            <w:r>
              <w:rPr>
                <w:rFonts w:hint="eastAsia" w:ascii="宋体" w:hAnsi="宋体" w:cs="Nimbus Roman No9 L"/>
                <w:b/>
                <w:bCs/>
                <w:color w:val="auto"/>
                <w:sz w:val="18"/>
                <w:szCs w:val="18"/>
                <w:highlight w:val="none"/>
                <w:lang w:eastAsia="zh-CN"/>
              </w:rPr>
              <w:t>商</w:t>
            </w:r>
            <w:r>
              <w:rPr>
                <w:rFonts w:ascii="宋体" w:hAnsi="宋体" w:cs="Nimbus Roman No9 L"/>
                <w:b/>
                <w:bCs/>
                <w:color w:val="auto"/>
                <w:sz w:val="18"/>
                <w:szCs w:val="18"/>
                <w:highlight w:val="none"/>
              </w:rPr>
              <w:t>投资企业</w:t>
            </w:r>
          </w:p>
          <w:p>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210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港澳台投资有限责任公司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220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港澳台投资股份有限公司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230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港澳台投资合伙企业</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290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其他港澳台投资企业</w:t>
            </w:r>
          </w:p>
          <w:p>
            <w:pPr>
              <w:tabs>
                <w:tab w:val="left" w:pos="630"/>
              </w:tabs>
              <w:spacing w:line="280" w:lineRule="exact"/>
              <w:rPr>
                <w:rFonts w:ascii="宋体" w:hAnsi="宋体" w:cs="Nimbus Roman No9 L"/>
                <w:color w:val="auto"/>
                <w:sz w:val="18"/>
                <w:szCs w:val="18"/>
                <w:highlight w:val="none"/>
              </w:rPr>
            </w:pPr>
            <w:r>
              <w:rPr>
                <w:rFonts w:ascii="宋体" w:hAnsi="宋体" w:cs="Nimbus Roman No9 L"/>
                <w:b/>
                <w:bCs/>
                <w:color w:val="auto"/>
                <w:sz w:val="18"/>
                <w:szCs w:val="18"/>
                <w:highlight w:val="none"/>
              </w:rPr>
              <w:t>外商投资企业</w:t>
            </w:r>
          </w:p>
          <w:p>
            <w:pPr>
              <w:tabs>
                <w:tab w:val="left" w:pos="630"/>
              </w:tabs>
              <w:spacing w:line="280" w:lineRule="exact"/>
              <w:ind w:firstLine="180" w:firstLineChars="100"/>
              <w:rPr>
                <w:rFonts w:ascii="宋体" w:hAnsi="宋体" w:cs="Nimbus Roman No9 L"/>
                <w:color w:val="auto"/>
                <w:sz w:val="18"/>
                <w:szCs w:val="18"/>
                <w:highlight w:val="none"/>
              </w:rPr>
            </w:pPr>
            <w:r>
              <w:rPr>
                <w:rFonts w:ascii="宋体" w:hAnsi="宋体" w:cs="Nimbus Roman No9 L"/>
                <w:color w:val="auto"/>
                <w:sz w:val="18"/>
                <w:szCs w:val="18"/>
                <w:highlight w:val="none"/>
              </w:rPr>
              <w:t>310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外商投资有限责任公司</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320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外商投资股份有限公司</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330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外商投资合伙企业</w:t>
            </w:r>
            <w:r>
              <w:rPr>
                <w:rFonts w:ascii="宋体" w:hAnsi="宋体" w:cs="Nimbus Roman No9 L"/>
                <w:color w:val="auto"/>
                <w:sz w:val="18"/>
                <w:szCs w:val="18"/>
                <w:highlight w:val="none"/>
                <w:lang w:val="en"/>
              </w:rPr>
              <w:t xml:space="preserve"> </w:t>
            </w:r>
            <w:r>
              <w:rPr>
                <w:rFonts w:hint="eastAsia" w:ascii="宋体" w:hAnsi="宋体" w:cs="Nimbus Roman No9 L"/>
                <w:color w:val="auto"/>
                <w:sz w:val="18"/>
                <w:szCs w:val="18"/>
                <w:highlight w:val="none"/>
              </w:rPr>
              <w:t xml:space="preserve">  </w:t>
            </w:r>
            <w:r>
              <w:rPr>
                <w:rFonts w:ascii="宋体" w:hAnsi="宋体" w:cs="Nimbus Roman No9 L"/>
                <w:color w:val="auto"/>
                <w:sz w:val="18"/>
                <w:szCs w:val="18"/>
                <w:highlight w:val="none"/>
              </w:rPr>
              <w:t>390</w:t>
            </w:r>
            <w:r>
              <w:rPr>
                <w:rFonts w:ascii="宋体" w:hAnsi="宋体" w:cs="Nimbus Roman No9 L"/>
                <w:color w:val="auto"/>
                <w:sz w:val="18"/>
                <w:szCs w:val="18"/>
                <w:highlight w:val="none"/>
                <w:lang w:val="en"/>
              </w:rPr>
              <w:t xml:space="preserve"> </w:t>
            </w:r>
            <w:r>
              <w:rPr>
                <w:rFonts w:ascii="宋体" w:hAnsi="宋体" w:cs="Nimbus Roman No9 L"/>
                <w:color w:val="auto"/>
                <w:sz w:val="18"/>
                <w:szCs w:val="18"/>
                <w:highlight w:val="none"/>
              </w:rPr>
              <w:t>其他外商投资企业</w:t>
            </w:r>
          </w:p>
          <w:p>
            <w:pPr>
              <w:snapToGrid w:val="0"/>
              <w:spacing w:line="280" w:lineRule="exact"/>
              <w:ind w:firstLine="180" w:firstLineChars="100"/>
              <w:rPr>
                <w:rFonts w:ascii="Times New Roman" w:hAnsi="Times New Roman"/>
                <w:bCs/>
                <w:color w:val="auto"/>
                <w:sz w:val="18"/>
                <w:szCs w:val="18"/>
                <w:highlight w:val="none"/>
              </w:rPr>
            </w:pPr>
            <w:r>
              <w:rPr>
                <w:rFonts w:ascii="宋体" w:hAnsi="宋体" w:cs="Nimbus Roman No9 L"/>
                <w:color w:val="auto"/>
                <w:sz w:val="18"/>
                <w:szCs w:val="18"/>
                <w:highlight w:val="none"/>
              </w:rPr>
              <w:t>400</w:t>
            </w:r>
            <w:r>
              <w:rPr>
                <w:rFonts w:ascii="宋体" w:hAnsi="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农民专业合作社（联合社）</w:t>
            </w:r>
            <w:r>
              <w:rPr>
                <w:rFonts w:hint="default" w:ascii="宋体" w:hAnsi="宋体" w:eastAsia="宋体" w:cs="Nimbus Roman No9 L"/>
                <w:color w:val="auto"/>
                <w:sz w:val="18"/>
                <w:szCs w:val="18"/>
                <w:highlight w:val="none"/>
              </w:rPr>
              <w:t xml:space="preserve"> </w:t>
            </w:r>
            <w:r>
              <w:rPr>
                <w:rFonts w:hint="eastAsia" w:ascii="宋体" w:hAnsi="宋体" w:eastAsia="宋体" w:cs="Nimbus Roman No9 L"/>
                <w:color w:val="auto"/>
                <w:sz w:val="18"/>
                <w:szCs w:val="18"/>
                <w:highlight w:val="none"/>
                <w:lang w:val="en-US" w:eastAsia="zh-CN"/>
              </w:rPr>
              <w:t xml:space="preserve"> </w:t>
            </w:r>
            <w:r>
              <w:rPr>
                <w:rFonts w:ascii="宋体" w:hAnsi="宋体" w:eastAsia="宋体" w:cs="Nimbus Roman No9 L"/>
                <w:color w:val="auto"/>
                <w:sz w:val="18"/>
                <w:szCs w:val="18"/>
                <w:highlight w:val="none"/>
              </w:rPr>
              <w:t>500</w:t>
            </w:r>
            <w:r>
              <w:rPr>
                <w:rFonts w:ascii="宋体" w:hAnsi="宋体" w:eastAsia="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个体工商户</w:t>
            </w:r>
            <w:r>
              <w:rPr>
                <w:rFonts w:hint="default" w:ascii="宋体" w:hAnsi="宋体" w:eastAsia="宋体" w:cs="Nimbus Roman No9 L"/>
                <w:b w:val="0"/>
                <w:bCs w:val="0"/>
                <w:color w:val="auto"/>
                <w:sz w:val="18"/>
                <w:szCs w:val="18"/>
                <w:highlight w:val="none"/>
              </w:rPr>
              <w:t xml:space="preserve">   </w:t>
            </w:r>
            <w:r>
              <w:rPr>
                <w:rFonts w:ascii="宋体" w:hAnsi="宋体" w:eastAsia="宋体" w:cs="Nimbus Roman No9 L"/>
                <w:color w:val="auto"/>
                <w:sz w:val="18"/>
                <w:szCs w:val="18"/>
                <w:highlight w:val="none"/>
              </w:rPr>
              <w:t>900</w:t>
            </w:r>
            <w:r>
              <w:rPr>
                <w:rFonts w:ascii="宋体" w:hAnsi="宋体" w:eastAsia="宋体" w:cs="Nimbus Roman No9 L"/>
                <w:color w:val="auto"/>
                <w:sz w:val="18"/>
                <w:szCs w:val="18"/>
                <w:highlight w:val="none"/>
                <w:lang w:val="en"/>
              </w:rPr>
              <w:t xml:space="preserve"> </w:t>
            </w:r>
            <w:r>
              <w:rPr>
                <w:rFonts w:ascii="宋体" w:hAnsi="宋体" w:eastAsia="宋体" w:cs="Nimbus Roman No9 L"/>
                <w:b w:val="0"/>
                <w:bCs w:val="0"/>
                <w:color w:val="auto"/>
                <w:sz w:val="18"/>
                <w:szCs w:val="18"/>
                <w:highlight w:val="none"/>
              </w:rPr>
              <w:t>其他市场主体</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p>
          <w:p>
            <w:pPr>
              <w:snapToGrid w:val="0"/>
              <w:spacing w:line="280" w:lineRule="exact"/>
              <w:jc w:val="center"/>
              <w:rPr>
                <w:bCs/>
                <w:color w:val="auto"/>
                <w:highlight w:val="none"/>
              </w:rPr>
            </w:pPr>
            <w:r>
              <w:rPr>
                <w:bCs/>
                <w:color w:val="auto"/>
                <w:sz w:val="18"/>
                <w:szCs w:val="18"/>
                <w:highlight w:val="none"/>
              </w:rPr>
              <w:t>QB06_1</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QB06_2</w:t>
            </w:r>
          </w:p>
        </w:tc>
        <w:tc>
          <w:tcPr>
            <w:tcW w:w="8974" w:type="dxa"/>
            <w:tcBorders>
              <w:top w:val="single" w:color="auto" w:sz="4" w:space="0"/>
              <w:left w:val="single" w:color="auto" w:sz="2" w:space="0"/>
              <w:bottom w:val="single" w:color="auto" w:sz="4" w:space="0"/>
              <w:right w:val="nil"/>
            </w:tcBorders>
            <w:noWrap w:val="0"/>
            <w:vAlign w:val="center"/>
          </w:tcPr>
          <w:p>
            <w:pPr>
              <w:widowControl/>
              <w:snapToGrid w:val="0"/>
              <w:spacing w:line="280" w:lineRule="exact"/>
              <w:rPr>
                <w:bCs/>
                <w:color w:val="auto"/>
                <w:sz w:val="18"/>
                <w:szCs w:val="18"/>
                <w:highlight w:val="none"/>
              </w:rPr>
            </w:pPr>
            <w:r>
              <w:rPr>
                <w:rFonts w:hint="eastAsia"/>
                <w:bCs/>
                <w:color w:val="auto"/>
                <w:sz w:val="18"/>
                <w:szCs w:val="18"/>
                <w:highlight w:val="none"/>
              </w:rPr>
              <w:t>主要外资来源国或地区的国别（地区）名称代码及外资出资比例（限港澳台商和外商投资企业填报）</w:t>
            </w:r>
          </w:p>
          <w:p>
            <w:pPr>
              <w:widowControl/>
              <w:snapToGrid w:val="0"/>
              <w:spacing w:line="280" w:lineRule="exact"/>
              <w:rPr>
                <w:bCs/>
                <w:color w:val="auto"/>
                <w:sz w:val="18"/>
                <w:szCs w:val="18"/>
                <w:highlight w:val="none"/>
              </w:rPr>
            </w:pPr>
            <w:r>
              <w:rPr>
                <w:rFonts w:hint="eastAsia"/>
                <w:bCs/>
                <w:color w:val="auto"/>
                <w:sz w:val="18"/>
                <w:szCs w:val="18"/>
                <w:highlight w:val="none"/>
              </w:rPr>
              <w:t>国别或地区代码（QB06_1）□□□</w:t>
            </w:r>
          </w:p>
          <w:p>
            <w:pPr>
              <w:widowControl/>
              <w:snapToGrid w:val="0"/>
              <w:spacing w:line="280" w:lineRule="exact"/>
              <w:rPr>
                <w:rFonts w:ascii="Times New Roman" w:hAnsi="Times New Roman"/>
                <w:bCs/>
                <w:color w:val="auto"/>
                <w:sz w:val="18"/>
                <w:szCs w:val="18"/>
                <w:highlight w:val="none"/>
                <w:u w:val="single"/>
              </w:rPr>
            </w:pPr>
            <w:r>
              <w:rPr>
                <w:rFonts w:hint="eastAsia"/>
                <w:bCs/>
                <w:color w:val="auto"/>
                <w:sz w:val="18"/>
                <w:szCs w:val="18"/>
                <w:highlight w:val="none"/>
              </w:rPr>
              <w:t>出资比例（QB06_2）</w:t>
            </w:r>
            <w:r>
              <w:rPr>
                <w:bCs/>
                <w:color w:val="auto"/>
                <w:sz w:val="18"/>
                <w:szCs w:val="18"/>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QB18</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 xml:space="preserve">企业控股情况□   1 国有控股    2 集体控股    3 私人控股    4 港澳台商控股    5 外商控股 </w:t>
            </w:r>
            <w:r>
              <w:rPr>
                <w:rFonts w:hint="eastAsia"/>
                <w:bCs/>
                <w:color w:val="auto"/>
                <w:sz w:val="18"/>
                <w:szCs w:val="18"/>
                <w:highlight w:val="none"/>
                <w:lang w:val="en-US" w:eastAsia="zh-CN"/>
              </w:rPr>
              <w:t xml:space="preserve">  </w:t>
            </w:r>
            <w:r>
              <w:rPr>
                <w:rFonts w:hint="eastAsia"/>
                <w:bCs/>
                <w:color w:val="auto"/>
                <w:sz w:val="18"/>
                <w:szCs w:val="18"/>
                <w:highlight w:val="none"/>
              </w:rPr>
              <w:t>9 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eastAsia" w:eastAsia="宋体"/>
                <w:bCs/>
                <w:color w:val="auto"/>
                <w:kern w:val="2"/>
                <w:sz w:val="18"/>
                <w:szCs w:val="18"/>
                <w:highlight w:val="none"/>
                <w:lang w:val="en-US" w:eastAsia="zh-CN" w:bidi="ar-SA"/>
              </w:rPr>
            </w:pPr>
            <w:r>
              <w:rPr>
                <w:bCs/>
                <w:color w:val="auto"/>
                <w:sz w:val="18"/>
                <w:szCs w:val="18"/>
                <w:highlight w:val="none"/>
              </w:rPr>
              <w:t>QB</w:t>
            </w:r>
            <w:r>
              <w:rPr>
                <w:rFonts w:hint="eastAsia"/>
                <w:bCs/>
                <w:color w:val="auto"/>
                <w:sz w:val="18"/>
                <w:szCs w:val="18"/>
                <w:highlight w:val="none"/>
                <w:lang w:val="en-US" w:eastAsia="zh-CN"/>
              </w:rPr>
              <w:t>39</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ind w:firstLine="12" w:firstLineChars="7"/>
              <w:rPr>
                <w:rFonts w:ascii="Nimbus Roman No9 L" w:hAnsi="Nimbus Roman No9 L" w:eastAsia="宋体" w:cs="Nimbus Roman No9 L"/>
                <w:color w:val="auto"/>
                <w:sz w:val="18"/>
                <w:szCs w:val="18"/>
                <w:highlight w:val="none"/>
              </w:rPr>
            </w:pPr>
            <w:r>
              <w:rPr>
                <w:rFonts w:ascii="Nimbus Roman No9 L" w:hAnsi="Nimbus Roman No9 L" w:eastAsia="宋体" w:cs="Nimbus Roman No9 L"/>
                <w:color w:val="auto"/>
                <w:sz w:val="18"/>
                <w:szCs w:val="18"/>
                <w:highlight w:val="none"/>
              </w:rPr>
              <w:t>港澳台商投资情况（限港澳台商投资企业填报）（可多选）</w:t>
            </w:r>
          </w:p>
          <w:p>
            <w:pPr>
              <w:snapToGrid w:val="0"/>
              <w:spacing w:line="280" w:lineRule="exact"/>
              <w:ind w:left="0" w:leftChars="0" w:firstLine="0" w:firstLineChars="0"/>
              <w:rPr>
                <w:rFonts w:hint="eastAsia" w:ascii="Nimbus Roman No9 L" w:hAnsi="Nimbus Roman No9 L" w:eastAsia="宋体" w:cs="Nimbus Roman No9 L"/>
                <w:color w:val="auto"/>
                <w:kern w:val="2"/>
                <w:sz w:val="18"/>
                <w:szCs w:val="18"/>
                <w:highlight w:val="none"/>
                <w:lang w:val="en-US" w:eastAsia="zh-CN" w:bidi="ar-SA"/>
              </w:rPr>
            </w:pPr>
            <w:r>
              <w:rPr>
                <w:rFonts w:hint="eastAsia"/>
                <w:bCs/>
                <w:color w:val="auto"/>
                <w:sz w:val="18"/>
                <w:szCs w:val="18"/>
                <w:highlight w:val="none"/>
              </w:rPr>
              <w:t>1</w:t>
            </w:r>
            <w:r>
              <w:rPr>
                <w:rFonts w:ascii="Nimbus Roman No9 L" w:hAnsi="Nimbus Roman No9 L" w:eastAsia="宋体" w:cs="Nimbus Roman No9 L"/>
                <w:color w:val="auto"/>
                <w:sz w:val="18"/>
                <w:szCs w:val="18"/>
                <w:highlight w:val="none"/>
              </w:rPr>
              <w:t xml:space="preserve"> 港商投资   </w:t>
            </w:r>
            <w:r>
              <w:rPr>
                <w:rFonts w:hint="eastAsia"/>
                <w:bCs/>
                <w:color w:val="auto"/>
                <w:sz w:val="18"/>
                <w:szCs w:val="18"/>
                <w:highlight w:val="none"/>
              </w:rPr>
              <w:t>2</w:t>
            </w:r>
            <w:r>
              <w:rPr>
                <w:rFonts w:ascii="Nimbus Roman No9 L" w:hAnsi="Nimbus Roman No9 L" w:eastAsia="宋体" w:cs="Nimbus Roman No9 L"/>
                <w:color w:val="auto"/>
                <w:sz w:val="18"/>
                <w:szCs w:val="18"/>
                <w:highlight w:val="none"/>
              </w:rPr>
              <w:t xml:space="preserve">澳商投资   </w:t>
            </w:r>
            <w:r>
              <w:rPr>
                <w:rFonts w:hint="eastAsia"/>
                <w:bCs/>
                <w:color w:val="auto"/>
                <w:sz w:val="18"/>
                <w:szCs w:val="18"/>
                <w:highlight w:val="none"/>
              </w:rPr>
              <w:t>3</w:t>
            </w:r>
            <w:r>
              <w:rPr>
                <w:rFonts w:ascii="Nimbus Roman No9 L" w:hAnsi="Nimbus Roman No9 L" w:eastAsia="宋体" w:cs="Nimbus Roman No9 L"/>
                <w:color w:val="auto"/>
                <w:sz w:val="18"/>
                <w:szCs w:val="18"/>
                <w:highlight w:val="none"/>
              </w:rPr>
              <w:t xml:space="preserve">台商投资   </w:t>
            </w:r>
            <w:r>
              <w:rPr>
                <w:rFonts w:hint="eastAsia"/>
                <w:bCs/>
                <w:color w:val="auto"/>
                <w:sz w:val="18"/>
                <w:szCs w:val="18"/>
                <w:highlight w:val="none"/>
              </w:rPr>
              <w:t>4</w:t>
            </w:r>
            <w:r>
              <w:rPr>
                <w:rFonts w:ascii="Nimbus Roman No9 L" w:hAnsi="Nimbus Roman No9 L" w:eastAsia="宋体" w:cs="Nimbus Roman No9 L"/>
                <w:color w:val="auto"/>
                <w:sz w:val="18"/>
                <w:szCs w:val="18"/>
                <w:highlight w:val="none"/>
                <w:lang w:val="en"/>
              </w:rPr>
              <w:t>暂未</w:t>
            </w:r>
            <w:r>
              <w:rPr>
                <w:rFonts w:ascii="Nimbus Roman No9 L" w:hAnsi="Nimbus Roman No9 L" w:eastAsia="宋体" w:cs="Nimbus Roman No9 L"/>
                <w:color w:val="auto"/>
                <w:sz w:val="18"/>
                <w:szCs w:val="18"/>
                <w:highlight w:val="none"/>
              </w:rPr>
              <w:t>投资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r>
              <w:rPr>
                <w:rFonts w:hint="eastAsia"/>
                <w:bCs/>
                <w:color w:val="auto"/>
                <w:sz w:val="18"/>
                <w:szCs w:val="18"/>
                <w:highlight w:val="none"/>
              </w:rPr>
              <w:t>QB</w:t>
            </w:r>
            <w:r>
              <w:rPr>
                <w:bCs/>
                <w:color w:val="auto"/>
                <w:sz w:val="18"/>
                <w:szCs w:val="18"/>
                <w:highlight w:val="none"/>
              </w:rPr>
              <w:t>30</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bCs/>
                <w:color w:val="auto"/>
                <w:sz w:val="18"/>
                <w:szCs w:val="18"/>
                <w:highlight w:val="none"/>
              </w:rPr>
            </w:pPr>
            <w:r>
              <w:rPr>
                <w:rFonts w:hint="eastAsia"/>
                <w:bCs/>
                <w:color w:val="auto"/>
                <w:sz w:val="18"/>
                <w:szCs w:val="18"/>
                <w:highlight w:val="none"/>
                <w:lang w:eastAsia="zh-CN"/>
              </w:rPr>
              <w:t>用</w:t>
            </w:r>
            <w:r>
              <w:rPr>
                <w:rFonts w:hint="eastAsia"/>
                <w:bCs/>
                <w:color w:val="auto"/>
                <w:sz w:val="18"/>
                <w:szCs w:val="18"/>
                <w:highlight w:val="none"/>
              </w:rPr>
              <w:t>地</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pPr>
              <w:snapToGrid w:val="0"/>
              <w:spacing w:line="280" w:lineRule="exact"/>
              <w:rPr>
                <w:bCs/>
                <w:color w:val="auto"/>
                <w:sz w:val="18"/>
                <w:szCs w:val="18"/>
                <w:highlight w:val="none"/>
              </w:rPr>
            </w:pPr>
            <w:r>
              <w:rPr>
                <w:rFonts w:hint="eastAsia"/>
                <w:bCs/>
                <w:color w:val="auto"/>
                <w:sz w:val="18"/>
                <w:szCs w:val="18"/>
                <w:highlight w:val="none"/>
              </w:rPr>
              <w:t>建筑</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30_</w:t>
            </w:r>
            <w:r>
              <w:rPr>
                <w:rFonts w:hint="eastAsia"/>
                <w:bCs/>
                <w:color w:val="auto"/>
                <w:sz w:val="18"/>
                <w:szCs w:val="18"/>
                <w:highlight w:val="none"/>
                <w:lang w:val="en-US" w:eastAsia="zh-CN"/>
              </w:rPr>
              <w:t>1</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pPr>
              <w:snapToGrid w:val="0"/>
              <w:spacing w:line="280" w:lineRule="exact"/>
              <w:rPr>
                <w:bCs/>
                <w:color w:val="auto"/>
                <w:sz w:val="18"/>
                <w:szCs w:val="18"/>
                <w:highlight w:val="none"/>
              </w:rPr>
            </w:pPr>
            <w:r>
              <w:rPr>
                <w:rFonts w:hint="eastAsia"/>
                <w:bCs/>
                <w:color w:val="auto"/>
                <w:sz w:val="18"/>
                <w:szCs w:val="18"/>
                <w:highlight w:val="none"/>
                <w:lang w:eastAsia="zh-CN"/>
              </w:rPr>
              <w:t>用于</w:t>
            </w:r>
            <w:r>
              <w:rPr>
                <w:rFonts w:hint="eastAsia"/>
                <w:bCs/>
                <w:color w:val="auto"/>
                <w:sz w:val="18"/>
                <w:szCs w:val="18"/>
                <w:highlight w:val="none"/>
              </w:rPr>
              <w:t>生产</w:t>
            </w:r>
            <w:r>
              <w:rPr>
                <w:rFonts w:hint="eastAsia"/>
                <w:bCs/>
                <w:color w:val="auto"/>
                <w:sz w:val="18"/>
                <w:szCs w:val="18"/>
                <w:highlight w:val="none"/>
                <w:lang w:eastAsia="zh-CN"/>
              </w:rPr>
              <w:t>的建筑</w:t>
            </w:r>
            <w:r>
              <w:rPr>
                <w:bCs/>
                <w:color w:val="auto"/>
                <w:sz w:val="18"/>
                <w:szCs w:val="18"/>
                <w:highlight w:val="none"/>
              </w:rPr>
              <w:t>面积</w:t>
            </w:r>
            <w:r>
              <w:rPr>
                <w:rFonts w:hint="eastAsia"/>
                <w:bCs/>
                <w:color w:val="auto"/>
                <w:sz w:val="18"/>
                <w:szCs w:val="18"/>
                <w:highlight w:val="none"/>
              </w:rPr>
              <w:t>（QB</w:t>
            </w:r>
            <w:r>
              <w:rPr>
                <w:bCs/>
                <w:color w:val="auto"/>
                <w:sz w:val="18"/>
                <w:szCs w:val="18"/>
                <w:highlight w:val="none"/>
              </w:rPr>
              <w:t>30_2</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p>
            <w:pPr>
              <w:snapToGrid w:val="0"/>
              <w:spacing w:line="280" w:lineRule="exact"/>
              <w:rPr>
                <w:rFonts w:hint="eastAsia" w:eastAsia="宋体"/>
                <w:bCs/>
                <w:color w:val="auto"/>
                <w:sz w:val="18"/>
                <w:szCs w:val="18"/>
                <w:highlight w:val="none"/>
                <w:lang w:eastAsia="zh-CN"/>
              </w:rPr>
            </w:pPr>
            <w:r>
              <w:rPr>
                <w:rFonts w:hint="eastAsia"/>
                <w:bCs/>
                <w:color w:val="auto"/>
                <w:sz w:val="18"/>
                <w:szCs w:val="18"/>
                <w:highlight w:val="none"/>
                <w:lang w:eastAsia="zh-CN"/>
              </w:rPr>
              <w:t>用于研发的建筑面积</w:t>
            </w:r>
            <w:r>
              <w:rPr>
                <w:rFonts w:hint="eastAsia"/>
                <w:bCs/>
                <w:color w:val="auto"/>
                <w:sz w:val="18"/>
                <w:szCs w:val="18"/>
                <w:highlight w:val="none"/>
              </w:rPr>
              <w:t>（QB</w:t>
            </w:r>
            <w:r>
              <w:rPr>
                <w:bCs/>
                <w:color w:val="auto"/>
                <w:sz w:val="18"/>
                <w:szCs w:val="18"/>
                <w:highlight w:val="none"/>
              </w:rPr>
              <w:t>30_</w:t>
            </w:r>
            <w:r>
              <w:rPr>
                <w:rFonts w:hint="eastAsia"/>
                <w:bCs/>
                <w:color w:val="auto"/>
                <w:sz w:val="18"/>
                <w:szCs w:val="18"/>
                <w:highlight w:val="none"/>
                <w:lang w:val="en-US" w:eastAsia="zh-CN"/>
              </w:rPr>
              <w:t>3</w:t>
            </w:r>
            <w:r>
              <w:rPr>
                <w:rFonts w:hint="eastAsia"/>
                <w:bCs/>
                <w:color w:val="auto"/>
                <w:sz w:val="18"/>
                <w:szCs w:val="18"/>
                <w:highlight w:val="none"/>
              </w:rPr>
              <w:t>）</w:t>
            </w:r>
            <w:r>
              <w:rPr>
                <w:bCs/>
                <w:color w:val="auto"/>
                <w:sz w:val="18"/>
                <w:szCs w:val="18"/>
                <w:highlight w:val="none"/>
              </w:rPr>
              <w:t>：</w:t>
            </w:r>
            <w:r>
              <w:rPr>
                <w:rFonts w:hint="eastAsia"/>
                <w:bCs/>
                <w:color w:val="auto"/>
                <w:sz w:val="18"/>
                <w:szCs w:val="18"/>
                <w:highlight w:val="none"/>
              </w:rPr>
              <w:t>________平方</w:t>
            </w:r>
            <w:r>
              <w:rPr>
                <w:bCs/>
                <w:color w:val="auto"/>
                <w:sz w:val="18"/>
                <w:szCs w:val="18"/>
                <w:highlight w:val="none"/>
              </w:rPr>
              <w:t>米</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 xml:space="preserve">QB09 </w:t>
            </w:r>
          </w:p>
          <w:p>
            <w:pPr>
              <w:snapToGrid w:val="0"/>
              <w:spacing w:line="280" w:lineRule="exact"/>
              <w:jc w:val="center"/>
              <w:rPr>
                <w:bCs/>
                <w:color w:val="auto"/>
                <w:sz w:val="18"/>
                <w:szCs w:val="18"/>
                <w:highlight w:val="none"/>
              </w:rPr>
            </w:pP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QB10</w:t>
            </w:r>
          </w:p>
        </w:tc>
        <w:tc>
          <w:tcPr>
            <w:tcW w:w="8974" w:type="dxa"/>
            <w:tcBorders>
              <w:top w:val="single" w:color="auto" w:sz="4" w:space="0"/>
              <w:left w:val="single" w:color="auto" w:sz="2" w:space="0"/>
              <w:bottom w:val="single" w:color="auto" w:sz="4" w:space="0"/>
              <w:right w:val="nil"/>
            </w:tcBorders>
            <w:noWrap w:val="0"/>
            <w:vAlign w:val="center"/>
          </w:tcPr>
          <w:p>
            <w:pPr>
              <w:spacing w:line="280" w:lineRule="exact"/>
              <w:rPr>
                <w:bCs/>
                <w:color w:val="auto"/>
                <w:sz w:val="18"/>
                <w:szCs w:val="18"/>
                <w:highlight w:val="none"/>
              </w:rPr>
            </w:pPr>
            <w:r>
              <w:rPr>
                <w:rFonts w:hint="eastAsia"/>
                <w:bCs/>
                <w:color w:val="auto"/>
                <w:sz w:val="18"/>
                <w:szCs w:val="18"/>
                <w:highlight w:val="none"/>
              </w:rPr>
              <w:t>企业集团情况（QB09）（限企业集团母公司及成员企业填写）：本企业是□</w:t>
            </w:r>
          </w:p>
          <w:p>
            <w:pPr>
              <w:spacing w:line="280" w:lineRule="exact"/>
              <w:rPr>
                <w:bCs/>
                <w:color w:val="auto"/>
                <w:sz w:val="18"/>
                <w:szCs w:val="18"/>
                <w:highlight w:val="none"/>
              </w:rPr>
            </w:pPr>
            <w:r>
              <w:rPr>
                <w:rFonts w:hint="eastAsia"/>
                <w:bCs/>
                <w:color w:val="auto"/>
                <w:kern w:val="0"/>
                <w:sz w:val="18"/>
                <w:szCs w:val="18"/>
                <w:highlight w:val="none"/>
              </w:rPr>
              <w:t>1集团母公司</w:t>
            </w:r>
            <w:r>
              <w:rPr>
                <w:rFonts w:hint="eastAsia"/>
                <w:bCs/>
                <w:color w:val="auto"/>
                <w:sz w:val="18"/>
                <w:szCs w:val="18"/>
                <w:highlight w:val="none"/>
              </w:rPr>
              <w:t>(核心企业或集团总部)</w:t>
            </w:r>
            <w:r>
              <w:rPr>
                <w:rFonts w:hint="eastAsia"/>
                <w:bCs/>
                <w:color w:val="auto"/>
                <w:sz w:val="18"/>
                <w:szCs w:val="18"/>
                <w:highlight w:val="none"/>
                <w:lang w:val="en-US" w:eastAsia="zh-CN"/>
              </w:rPr>
              <w:t xml:space="preserve">    </w:t>
            </w:r>
            <w:r>
              <w:rPr>
                <w:rFonts w:hint="eastAsia"/>
                <w:bCs/>
                <w:color w:val="auto"/>
                <w:sz w:val="18"/>
                <w:szCs w:val="18"/>
                <w:highlight w:val="none"/>
              </w:rPr>
              <w:t>2企业集团的成员企业</w:t>
            </w:r>
          </w:p>
          <w:p>
            <w:pPr>
              <w:snapToGrid w:val="0"/>
              <w:spacing w:line="280" w:lineRule="exact"/>
              <w:rPr>
                <w:bCs/>
                <w:color w:val="auto"/>
                <w:sz w:val="18"/>
                <w:szCs w:val="18"/>
                <w:highlight w:val="none"/>
              </w:rPr>
            </w:pPr>
            <w:r>
              <w:rPr>
                <w:rFonts w:hint="eastAsia"/>
                <w:bCs/>
                <w:color w:val="auto"/>
                <w:sz w:val="18"/>
                <w:szCs w:val="18"/>
                <w:highlight w:val="none"/>
              </w:rPr>
              <w:t>如为2，请填直接上级法人单位统一社会信用代码（QB10）</w:t>
            </w:r>
          </w:p>
          <w:p>
            <w:pPr>
              <w:snapToGrid w:val="0"/>
              <w:spacing w:line="280" w:lineRule="exact"/>
              <w:rPr>
                <w:bCs/>
                <w:color w:val="auto"/>
                <w:sz w:val="18"/>
                <w:szCs w:val="18"/>
                <w:highlight w:val="none"/>
              </w:rPr>
            </w:pPr>
            <w:r>
              <w:rPr>
                <w:rFonts w:hint="eastAsia"/>
                <w:bCs/>
                <w:color w:val="auto"/>
                <w:sz w:val="18"/>
                <w:szCs w:val="18"/>
                <w:highlight w:val="none"/>
              </w:rPr>
              <w:t>□□□□□□□□□□□□□□□□□□</w:t>
            </w:r>
            <w:r>
              <w:rPr>
                <w:rFonts w:hint="eastAsia"/>
                <w:bCs/>
                <w:color w:val="auto"/>
                <w:sz w:val="18"/>
                <w:szCs w:val="18"/>
                <w:highlight w:val="none"/>
                <w:lang w:val="en-US" w:eastAsia="zh-CN"/>
              </w:rPr>
              <w:t xml:space="preserve">  </w:t>
            </w:r>
            <w:r>
              <w:rPr>
                <w:rFonts w:hint="eastAsia"/>
                <w:bCs/>
                <w:color w:val="auto"/>
                <w:sz w:val="18"/>
                <w:szCs w:val="18"/>
                <w:highlight w:val="none"/>
              </w:rPr>
              <w:t>或上级法人单位组织机构代码□□□□□□□□—□</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如上级法人为境外公司，请填写境外公司的名称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shd w:val="clear" w:color="auto" w:fill="D9D9D9"/>
            <w:noWrap w:val="0"/>
            <w:vAlign w:val="center"/>
          </w:tcPr>
          <w:p>
            <w:pPr>
              <w:snapToGrid w:val="0"/>
              <w:spacing w:line="280" w:lineRule="exact"/>
              <w:jc w:val="center"/>
              <w:rPr>
                <w:bCs/>
                <w:color w:val="auto"/>
                <w:sz w:val="18"/>
                <w:szCs w:val="18"/>
                <w:highlight w:val="none"/>
              </w:rPr>
            </w:pPr>
            <w:r>
              <w:rPr>
                <w:bCs/>
                <w:color w:val="auto"/>
                <w:sz w:val="18"/>
                <w:szCs w:val="18"/>
                <w:highlight w:val="none"/>
              </w:rPr>
              <w:t>QB11</w:t>
            </w:r>
          </w:p>
          <w:p>
            <w:pPr>
              <w:snapToGrid w:val="0"/>
              <w:spacing w:line="280" w:lineRule="exact"/>
              <w:jc w:val="center"/>
              <w:rPr>
                <w:bCs/>
                <w:color w:val="auto"/>
                <w:sz w:val="18"/>
                <w:szCs w:val="18"/>
                <w:highlight w:val="none"/>
              </w:rPr>
            </w:pPr>
            <w:r>
              <w:rPr>
                <w:bCs/>
                <w:color w:val="auto"/>
                <w:sz w:val="18"/>
                <w:szCs w:val="18"/>
                <w:highlight w:val="none"/>
              </w:rPr>
              <w:t>QB13</w:t>
            </w:r>
          </w:p>
          <w:p>
            <w:pPr>
              <w:snapToGrid w:val="0"/>
              <w:spacing w:line="280" w:lineRule="exact"/>
              <w:jc w:val="center"/>
              <w:rPr>
                <w:rFonts w:ascii="Times New Roman" w:hAnsi="Times New Roman"/>
                <w:bCs/>
                <w:color w:val="auto"/>
                <w:highlight w:val="none"/>
              </w:rPr>
            </w:pPr>
            <w:r>
              <w:rPr>
                <w:bCs/>
                <w:color w:val="auto"/>
                <w:sz w:val="18"/>
                <w:szCs w:val="18"/>
                <w:highlight w:val="none"/>
              </w:rPr>
              <w:t>QB12</w:t>
            </w:r>
          </w:p>
        </w:tc>
        <w:tc>
          <w:tcPr>
            <w:tcW w:w="8974" w:type="dxa"/>
            <w:tcBorders>
              <w:top w:val="single" w:color="auto" w:sz="4" w:space="0"/>
              <w:left w:val="single" w:color="auto" w:sz="2" w:space="0"/>
              <w:bottom w:val="single" w:color="auto" w:sz="4" w:space="0"/>
              <w:right w:val="nil"/>
            </w:tcBorders>
            <w:shd w:val="clear" w:color="auto" w:fill="D9D9D9"/>
            <w:noWrap w:val="0"/>
            <w:vAlign w:val="center"/>
          </w:tcPr>
          <w:p>
            <w:pPr>
              <w:snapToGrid w:val="0"/>
              <w:spacing w:line="280" w:lineRule="exact"/>
              <w:jc w:val="left"/>
              <w:rPr>
                <w:rFonts w:ascii="宋体" w:hAnsi="宋体" w:cs="宋体"/>
                <w:bCs/>
                <w:color w:val="auto"/>
                <w:sz w:val="18"/>
                <w:szCs w:val="18"/>
                <w:highlight w:val="none"/>
              </w:rPr>
            </w:pPr>
            <w:r>
              <w:rPr>
                <w:rFonts w:hint="eastAsia" w:ascii="宋体" w:hAnsi="宋体" w:cs="宋体"/>
                <w:bCs/>
                <w:color w:val="auto"/>
                <w:sz w:val="18"/>
                <w:szCs w:val="18"/>
                <w:highlight w:val="none"/>
              </w:rPr>
              <w:t>企业是否为</w:t>
            </w:r>
            <w:r>
              <w:rPr>
                <w:rFonts w:hint="eastAsia" w:ascii="Arial" w:hAnsi="Arial" w:cs="Arial"/>
                <w:bCs/>
                <w:color w:val="auto"/>
                <w:kern w:val="0"/>
                <w:sz w:val="18"/>
                <w:szCs w:val="18"/>
                <w:highlight w:val="none"/>
              </w:rPr>
              <w:t>经过认定的高新技术企业</w:t>
            </w:r>
            <w:r>
              <w:rPr>
                <w:rFonts w:hint="eastAsia" w:ascii="Arial" w:hAnsi="Arial" w:cs="Arial"/>
                <w:bCs/>
                <w:color w:val="auto"/>
                <w:spacing w:val="15"/>
                <w:kern w:val="0"/>
                <w:sz w:val="18"/>
                <w:szCs w:val="18"/>
                <w:highlight w:val="none"/>
              </w:rPr>
              <w:t>（</w:t>
            </w:r>
            <w:r>
              <w:rPr>
                <w:rFonts w:ascii="宋体" w:hAnsi="宋体" w:cs="宋体"/>
                <w:bCs/>
                <w:color w:val="auto"/>
                <w:sz w:val="18"/>
                <w:szCs w:val="18"/>
                <w:highlight w:val="none"/>
              </w:rPr>
              <w:t>QB11）</w:t>
            </w:r>
            <w:r>
              <w:rPr>
                <w:rFonts w:hint="eastAsia" w:ascii="宋体" w:hAnsi="宋体" w:cs="宋体"/>
                <w:bCs/>
                <w:color w:val="auto"/>
                <w:sz w:val="18"/>
                <w:szCs w:val="18"/>
                <w:highlight w:val="none"/>
                <w:lang w:eastAsia="zh-CN"/>
              </w:rPr>
              <w:t>□</w:t>
            </w:r>
            <w:r>
              <w:rPr>
                <w:rFonts w:ascii="宋体" w:hAnsi="宋体" w:cs="宋体"/>
                <w:bCs/>
                <w:color w:val="auto"/>
                <w:sz w:val="18"/>
                <w:szCs w:val="18"/>
                <w:highlight w:val="none"/>
              </w:rPr>
              <w:t xml:space="preserve">      1.是    2.否</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p>
            <w:pPr>
              <w:snapToGrid w:val="0"/>
              <w:spacing w:line="280" w:lineRule="exact"/>
              <w:rPr>
                <w:rFonts w:ascii="宋体" w:hAnsi="宋体" w:cs="宋体"/>
                <w:bCs/>
                <w:color w:val="auto"/>
                <w:sz w:val="18"/>
                <w:szCs w:val="18"/>
                <w:highlight w:val="none"/>
              </w:rPr>
            </w:pPr>
            <w:r>
              <w:rPr>
                <w:rFonts w:hint="eastAsia" w:ascii="宋体" w:hAnsi="宋体" w:cs="宋体"/>
                <w:bCs/>
                <w:color w:val="auto"/>
                <w:sz w:val="18"/>
                <w:szCs w:val="18"/>
                <w:highlight w:val="none"/>
              </w:rPr>
              <w:t>如是，高新技术企业认定证书编号（</w:t>
            </w:r>
            <w:r>
              <w:rPr>
                <w:rFonts w:ascii="宋体" w:hAnsi="宋体" w:cs="宋体"/>
                <w:bCs/>
                <w:color w:val="auto"/>
                <w:sz w:val="18"/>
                <w:szCs w:val="18"/>
                <w:highlight w:val="none"/>
              </w:rPr>
              <w:t xml:space="preserve">QB13）  </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p>
            <w:pPr>
              <w:snapToGrid w:val="0"/>
              <w:spacing w:line="280" w:lineRule="exact"/>
              <w:jc w:val="left"/>
              <w:rPr>
                <w:rFonts w:ascii="Times New Roman" w:hAnsi="Times New Roman"/>
                <w:bCs/>
                <w:color w:val="auto"/>
                <w:highlight w:val="none"/>
              </w:rPr>
            </w:pPr>
            <w:r>
              <w:rPr>
                <w:rFonts w:hint="eastAsia" w:ascii="Arial" w:hAnsi="Arial" w:cs="Arial"/>
                <w:bCs/>
                <w:color w:val="auto"/>
                <w:kern w:val="0"/>
                <w:sz w:val="18"/>
                <w:szCs w:val="18"/>
                <w:highlight w:val="none"/>
              </w:rPr>
              <w:t>企业被认定为高新技术企业的时间□□□□年</w:t>
            </w:r>
            <w:r>
              <w:rPr>
                <w:rFonts w:hint="eastAsia" w:ascii="宋体" w:hAnsi="宋体" w:cs="宋体"/>
                <w:bCs/>
                <w:color w:val="auto"/>
                <w:sz w:val="18"/>
                <w:szCs w:val="18"/>
                <w:highlight w:val="none"/>
              </w:rPr>
              <w:t>（系统</w:t>
            </w:r>
            <w:r>
              <w:rPr>
                <w:rFonts w:ascii="宋体" w:hAnsi="宋体" w:cs="宋体"/>
                <w:bCs/>
                <w:color w:val="auto"/>
                <w:sz w:val="18"/>
                <w:szCs w:val="18"/>
                <w:highlight w:val="none"/>
              </w:rPr>
              <w:t>自动识别</w:t>
            </w:r>
            <w:r>
              <w:rPr>
                <w:rFonts w:hint="eastAsia" w:ascii="宋体" w:hAnsi="宋体" w:cs="宋体"/>
                <w:bCs/>
                <w:color w:val="auto"/>
                <w:sz w:val="18"/>
                <w:szCs w:val="18"/>
                <w:highlight w:val="none"/>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bCs/>
                <w:color w:val="auto"/>
                <w:sz w:val="18"/>
                <w:szCs w:val="18"/>
                <w:highlight w:val="none"/>
              </w:rPr>
            </w:pPr>
            <w:r>
              <w:rPr>
                <w:bCs/>
                <w:color w:val="auto"/>
                <w:sz w:val="18"/>
                <w:szCs w:val="18"/>
                <w:highlight w:val="none"/>
              </w:rPr>
              <w:t>QB14</w:t>
            </w:r>
          </w:p>
          <w:p>
            <w:pPr>
              <w:snapToGrid w:val="0"/>
              <w:spacing w:line="280" w:lineRule="exact"/>
              <w:jc w:val="center"/>
              <w:rPr>
                <w:bCs/>
                <w:color w:val="auto"/>
                <w:sz w:val="18"/>
                <w:szCs w:val="18"/>
                <w:highlight w:val="none"/>
              </w:rPr>
            </w:pPr>
            <w:r>
              <w:rPr>
                <w:bCs/>
                <w:color w:val="auto"/>
                <w:sz w:val="18"/>
                <w:szCs w:val="18"/>
                <w:highlight w:val="none"/>
              </w:rPr>
              <w:t>QB14_1</w:t>
            </w:r>
          </w:p>
          <w:p>
            <w:pPr>
              <w:snapToGrid w:val="0"/>
              <w:spacing w:line="280" w:lineRule="exact"/>
              <w:jc w:val="center"/>
              <w:rPr>
                <w:rFonts w:ascii="Times New Roman" w:hAnsi="Times New Roman"/>
                <w:bCs/>
                <w:color w:val="auto"/>
                <w:sz w:val="18"/>
                <w:szCs w:val="18"/>
                <w:highlight w:val="none"/>
              </w:rPr>
            </w:pPr>
            <w:r>
              <w:rPr>
                <w:bCs/>
                <w:color w:val="auto"/>
                <w:sz w:val="18"/>
                <w:szCs w:val="18"/>
                <w:highlight w:val="none"/>
              </w:rPr>
              <w:t>QB14_2</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jc w:val="left"/>
              <w:rPr>
                <w:bCs/>
                <w:color w:val="auto"/>
                <w:sz w:val="18"/>
                <w:szCs w:val="18"/>
                <w:highlight w:val="none"/>
              </w:rPr>
            </w:pPr>
            <w:r>
              <w:rPr>
                <w:rFonts w:hint="eastAsia"/>
                <w:bCs/>
                <w:color w:val="auto"/>
                <w:kern w:val="0"/>
                <w:sz w:val="18"/>
                <w:szCs w:val="18"/>
                <w:highlight w:val="none"/>
              </w:rPr>
              <w:t>与科技企业孵化器关系</w:t>
            </w:r>
            <w:r>
              <w:rPr>
                <w:rFonts w:ascii="宋体" w:hAnsi="宋体" w:eastAsia="宋体"/>
                <w:bCs/>
                <w:color w:val="auto"/>
                <w:spacing w:val="15"/>
                <w:kern w:val="0"/>
                <w:sz w:val="18"/>
                <w:szCs w:val="18"/>
                <w:highlight w:val="none"/>
              </w:rPr>
              <w:t>(</w:t>
            </w:r>
            <w:r>
              <w:rPr>
                <w:bCs/>
                <w:color w:val="auto"/>
                <w:sz w:val="18"/>
                <w:szCs w:val="18"/>
                <w:highlight w:val="none"/>
              </w:rPr>
              <w:t>QB14</w:t>
            </w:r>
            <w:r>
              <w:rPr>
                <w:rFonts w:ascii="宋体" w:hAnsi="宋体" w:eastAsia="宋体"/>
                <w:bCs/>
                <w:color w:val="auto"/>
                <w:sz w:val="18"/>
                <w:szCs w:val="18"/>
                <w:highlight w:val="none"/>
              </w:rPr>
              <w:t>)</w:t>
            </w:r>
            <w:r>
              <w:rPr>
                <w:rFonts w:hint="eastAsia"/>
                <w:bCs/>
                <w:color w:val="auto"/>
                <w:sz w:val="18"/>
                <w:szCs w:val="18"/>
                <w:highlight w:val="none"/>
              </w:rPr>
              <w:t>□</w:t>
            </w:r>
          </w:p>
          <w:p>
            <w:pPr>
              <w:snapToGrid w:val="0"/>
              <w:spacing w:line="280" w:lineRule="exact"/>
              <w:jc w:val="left"/>
              <w:rPr>
                <w:bCs/>
                <w:color w:val="auto"/>
                <w:sz w:val="18"/>
                <w:szCs w:val="18"/>
                <w:highlight w:val="none"/>
              </w:rPr>
            </w:pPr>
            <w:r>
              <w:rPr>
                <w:rFonts w:hint="eastAsia"/>
                <w:bCs/>
                <w:color w:val="auto"/>
                <w:sz w:val="18"/>
                <w:szCs w:val="18"/>
                <w:highlight w:val="none"/>
              </w:rPr>
              <w:t xml:space="preserve">      1.孵化器在孵企业入孵时间</w:t>
            </w:r>
            <w:r>
              <w:rPr>
                <w:rFonts w:hint="eastAsia" w:ascii="宋体" w:hAnsi="宋体" w:eastAsia="宋体"/>
                <w:bCs/>
                <w:color w:val="auto"/>
                <w:sz w:val="18"/>
                <w:szCs w:val="18"/>
                <w:highlight w:val="none"/>
              </w:rPr>
              <w:t>(</w:t>
            </w:r>
            <w:r>
              <w:rPr>
                <w:rFonts w:hint="eastAsia"/>
                <w:bCs/>
                <w:color w:val="auto"/>
                <w:sz w:val="18"/>
                <w:szCs w:val="18"/>
                <w:highlight w:val="none"/>
              </w:rPr>
              <w:t>QB14_1</w:t>
            </w:r>
            <w:r>
              <w:rPr>
                <w:rFonts w:hint="eastAsia" w:ascii="宋体" w:hAnsi="宋体" w:eastAsia="宋体"/>
                <w:bCs/>
                <w:color w:val="auto"/>
                <w:sz w:val="18"/>
                <w:szCs w:val="18"/>
                <w:highlight w:val="none"/>
              </w:rPr>
              <w:t>)</w:t>
            </w:r>
            <w:r>
              <w:rPr>
                <w:rFonts w:hint="eastAsia"/>
                <w:bCs/>
                <w:color w:val="auto"/>
                <w:sz w:val="18"/>
                <w:szCs w:val="18"/>
                <w:highlight w:val="none"/>
              </w:rPr>
              <w:t xml:space="preserve">  □□□□年</w:t>
            </w:r>
          </w:p>
          <w:p>
            <w:pPr>
              <w:snapToGrid w:val="0"/>
              <w:spacing w:line="280" w:lineRule="exact"/>
              <w:rPr>
                <w:bCs/>
                <w:color w:val="auto"/>
                <w:sz w:val="18"/>
                <w:szCs w:val="18"/>
                <w:highlight w:val="none"/>
              </w:rPr>
            </w:pPr>
            <w:r>
              <w:rPr>
                <w:rFonts w:hint="eastAsia"/>
                <w:bCs/>
                <w:color w:val="auto"/>
                <w:sz w:val="18"/>
                <w:szCs w:val="18"/>
                <w:highlight w:val="none"/>
              </w:rPr>
              <w:t xml:space="preserve">      2.孵化器毕业企业毕业时间</w:t>
            </w:r>
            <w:r>
              <w:rPr>
                <w:rFonts w:hint="eastAsia" w:ascii="宋体" w:hAnsi="宋体" w:eastAsia="宋体"/>
                <w:bCs/>
                <w:color w:val="auto"/>
                <w:sz w:val="18"/>
                <w:szCs w:val="18"/>
                <w:highlight w:val="none"/>
              </w:rPr>
              <w:t>(</w:t>
            </w:r>
            <w:r>
              <w:rPr>
                <w:rFonts w:hint="eastAsia"/>
                <w:bCs/>
                <w:color w:val="auto"/>
                <w:sz w:val="18"/>
                <w:szCs w:val="18"/>
                <w:highlight w:val="none"/>
              </w:rPr>
              <w:t>QB14_2</w:t>
            </w:r>
            <w:r>
              <w:rPr>
                <w:rFonts w:hint="eastAsia" w:ascii="宋体" w:hAnsi="宋体" w:eastAsia="宋体"/>
                <w:bCs/>
                <w:color w:val="auto"/>
                <w:sz w:val="18"/>
                <w:szCs w:val="18"/>
                <w:highlight w:val="none"/>
              </w:rPr>
              <w:t>)</w:t>
            </w:r>
            <w:r>
              <w:rPr>
                <w:rFonts w:hint="eastAsia"/>
                <w:bCs/>
                <w:color w:val="auto"/>
                <w:sz w:val="18"/>
                <w:szCs w:val="18"/>
                <w:highlight w:val="none"/>
              </w:rPr>
              <w:t xml:space="preserve">  □□□□年</w:t>
            </w:r>
          </w:p>
          <w:p>
            <w:pPr>
              <w:snapToGrid w:val="0"/>
              <w:spacing w:line="280" w:lineRule="exact"/>
              <w:rPr>
                <w:rFonts w:ascii="Times New Roman" w:hAnsi="Times New Roman"/>
                <w:bCs/>
                <w:color w:val="auto"/>
                <w:sz w:val="18"/>
                <w:szCs w:val="18"/>
                <w:highlight w:val="none"/>
              </w:rPr>
            </w:pPr>
            <w:r>
              <w:rPr>
                <w:rFonts w:hint="eastAsia"/>
                <w:bCs/>
                <w:color w:val="auto"/>
                <w:sz w:val="18"/>
                <w:szCs w:val="18"/>
                <w:highlight w:val="none"/>
              </w:rPr>
              <w:t xml:space="preserve">      3.与孵化器无关</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ind w:firstLine="90" w:firstLineChars="50"/>
              <w:jc w:val="center"/>
              <w:rPr>
                <w:bCs/>
                <w:color w:val="auto"/>
                <w:sz w:val="18"/>
                <w:szCs w:val="18"/>
                <w:highlight w:val="none"/>
              </w:rPr>
            </w:pPr>
            <w:r>
              <w:rPr>
                <w:bCs/>
                <w:color w:val="auto"/>
                <w:sz w:val="18"/>
                <w:szCs w:val="18"/>
                <w:highlight w:val="none"/>
              </w:rPr>
              <w:t>QB15</w:t>
            </w:r>
          </w:p>
          <w:p>
            <w:pPr>
              <w:pStyle w:val="9"/>
              <w:spacing w:after="0" w:line="280" w:lineRule="exact"/>
              <w:jc w:val="center"/>
              <w:rPr>
                <w:bCs/>
                <w:color w:val="auto"/>
                <w:highlight w:val="none"/>
              </w:rPr>
            </w:pPr>
          </w:p>
          <w:p>
            <w:pPr>
              <w:snapToGrid w:val="0"/>
              <w:spacing w:line="280" w:lineRule="exact"/>
              <w:jc w:val="center"/>
              <w:rPr>
                <w:bCs/>
                <w:color w:val="auto"/>
                <w:sz w:val="18"/>
                <w:szCs w:val="18"/>
                <w:highlight w:val="none"/>
              </w:rPr>
            </w:pPr>
            <w:r>
              <w:rPr>
                <w:bCs/>
                <w:color w:val="auto"/>
                <w:sz w:val="18"/>
                <w:szCs w:val="18"/>
                <w:highlight w:val="none"/>
              </w:rPr>
              <w:t>QB15_1</w:t>
            </w:r>
          </w:p>
          <w:p>
            <w:pPr>
              <w:pStyle w:val="9"/>
              <w:spacing w:after="0" w:line="280" w:lineRule="exact"/>
              <w:jc w:val="center"/>
              <w:rPr>
                <w:bCs/>
                <w:color w:val="auto"/>
                <w:highlight w:val="none"/>
              </w:rPr>
            </w:pPr>
          </w:p>
          <w:p>
            <w:pPr>
              <w:snapToGrid w:val="0"/>
              <w:spacing w:line="280" w:lineRule="exact"/>
              <w:jc w:val="center"/>
              <w:rPr>
                <w:bCs/>
                <w:color w:val="auto"/>
                <w:sz w:val="18"/>
                <w:szCs w:val="18"/>
                <w:highlight w:val="none"/>
              </w:rPr>
            </w:pPr>
            <w:r>
              <w:rPr>
                <w:bCs/>
                <w:color w:val="auto"/>
                <w:sz w:val="18"/>
                <w:szCs w:val="18"/>
                <w:highlight w:val="none"/>
              </w:rPr>
              <w:t>QB15_2</w:t>
            </w:r>
          </w:p>
          <w:p>
            <w:pPr>
              <w:snapToGrid w:val="0"/>
              <w:spacing w:line="280" w:lineRule="exact"/>
              <w:rPr>
                <w:rFonts w:ascii="Times New Roman" w:hAnsi="Times New Roman"/>
                <w:bCs/>
                <w:color w:val="auto"/>
                <w:highlight w:val="none"/>
              </w:rPr>
            </w:pPr>
            <w:r>
              <w:rPr>
                <w:bCs/>
                <w:color w:val="auto"/>
                <w:sz w:val="18"/>
                <w:szCs w:val="18"/>
                <w:highlight w:val="none"/>
              </w:rPr>
              <w:t>QB15_5</w:t>
            </w:r>
          </w:p>
        </w:tc>
        <w:tc>
          <w:tcPr>
            <w:tcW w:w="8974" w:type="dxa"/>
            <w:tcBorders>
              <w:top w:val="single" w:color="auto" w:sz="4" w:space="0"/>
              <w:left w:val="single" w:color="auto" w:sz="2" w:space="0"/>
              <w:bottom w:val="single" w:color="auto" w:sz="4" w:space="0"/>
              <w:right w:val="nil"/>
            </w:tcBorders>
            <w:noWrap w:val="0"/>
            <w:vAlign w:val="center"/>
          </w:tcPr>
          <w:p>
            <w:pPr>
              <w:pStyle w:val="9"/>
              <w:spacing w:after="0" w:line="280" w:lineRule="exact"/>
              <w:rPr>
                <w:bCs/>
                <w:color w:val="auto"/>
                <w:sz w:val="18"/>
                <w:szCs w:val="18"/>
                <w:highlight w:val="none"/>
              </w:rPr>
            </w:pPr>
            <w:r>
              <w:rPr>
                <w:rFonts w:hint="eastAsia"/>
                <w:bCs/>
                <w:color w:val="auto"/>
                <w:sz w:val="18"/>
                <w:szCs w:val="18"/>
                <w:highlight w:val="none"/>
              </w:rPr>
              <w:t>境外上市情况（QB15）□</w:t>
            </w:r>
            <w:r>
              <w:rPr>
                <w:rFonts w:hint="eastAsia"/>
                <w:bCs/>
                <w:color w:val="auto"/>
                <w:sz w:val="18"/>
                <w:szCs w:val="18"/>
                <w:highlight w:val="none"/>
                <w:lang w:val="en-US" w:eastAsia="zh-CN"/>
              </w:rPr>
              <w:t xml:space="preserve">    </w:t>
            </w:r>
            <w:r>
              <w:rPr>
                <w:rFonts w:hint="eastAsia"/>
                <w:bCs/>
                <w:color w:val="auto"/>
                <w:sz w:val="18"/>
                <w:szCs w:val="18"/>
                <w:highlight w:val="none"/>
              </w:rPr>
              <w:t>3.新加坡4.香港5.纳斯达克6.纽交所7.东京8.伦敦9其他海外市场</w:t>
            </w:r>
          </w:p>
          <w:p>
            <w:pPr>
              <w:pStyle w:val="9"/>
              <w:spacing w:after="0" w:line="280" w:lineRule="exact"/>
              <w:rPr>
                <w:bCs/>
                <w:color w:val="auto"/>
                <w:sz w:val="18"/>
                <w:szCs w:val="18"/>
                <w:highlight w:val="none"/>
              </w:rPr>
            </w:pPr>
            <w:r>
              <w:rPr>
                <w:rFonts w:hint="eastAsia"/>
                <w:bCs/>
                <w:color w:val="auto"/>
                <w:sz w:val="18"/>
                <w:szCs w:val="18"/>
                <w:highlight w:val="none"/>
              </w:rPr>
              <w:t>证券代码（QB15_1）</w:t>
            </w:r>
          </w:p>
          <w:p>
            <w:pPr>
              <w:snapToGrid w:val="0"/>
              <w:spacing w:line="280" w:lineRule="exact"/>
              <w:rPr>
                <w:rFonts w:hint="eastAsia"/>
                <w:bCs/>
                <w:color w:val="auto"/>
                <w:sz w:val="18"/>
                <w:szCs w:val="18"/>
                <w:highlight w:val="none"/>
              </w:rPr>
            </w:pPr>
            <w:r>
              <w:rPr>
                <w:rFonts w:hint="eastAsia"/>
                <w:bCs/>
                <w:color w:val="auto"/>
                <w:sz w:val="18"/>
                <w:szCs w:val="18"/>
                <w:highlight w:val="none"/>
              </w:rPr>
              <w:t xml:space="preserve">3.□□□.SG或者□□□□.SG    4.□□□□□.HK  </w:t>
            </w:r>
          </w:p>
          <w:p>
            <w:pPr>
              <w:snapToGrid w:val="0"/>
              <w:spacing w:line="280" w:lineRule="exact"/>
              <w:rPr>
                <w:bCs/>
                <w:color w:val="auto"/>
                <w:sz w:val="18"/>
                <w:szCs w:val="18"/>
                <w:highlight w:val="none"/>
              </w:rPr>
            </w:pPr>
            <w:r>
              <w:rPr>
                <w:rFonts w:hint="eastAsia"/>
                <w:bCs/>
                <w:color w:val="auto"/>
                <w:sz w:val="18"/>
                <w:szCs w:val="18"/>
                <w:highlight w:val="none"/>
              </w:rPr>
              <w:t xml:space="preserve">5.□□□□.O 或者□□□.O 或者□□.O 或者□□□□□.O </w:t>
            </w:r>
          </w:p>
          <w:p>
            <w:pPr>
              <w:snapToGrid w:val="0"/>
              <w:spacing w:line="280" w:lineRule="exact"/>
              <w:rPr>
                <w:bCs/>
                <w:color w:val="auto"/>
                <w:sz w:val="18"/>
                <w:szCs w:val="18"/>
                <w:highlight w:val="none"/>
              </w:rPr>
            </w:pPr>
            <w:r>
              <w:rPr>
                <w:rFonts w:hint="eastAsia"/>
                <w:bCs/>
                <w:color w:val="auto"/>
                <w:sz w:val="18"/>
                <w:szCs w:val="18"/>
                <w:highlight w:val="none"/>
              </w:rPr>
              <w:t>6.□□□□.N或者□□□.N或者□□.N</w:t>
            </w:r>
            <w:r>
              <w:rPr>
                <w:bCs/>
                <w:color w:val="auto"/>
                <w:sz w:val="18"/>
                <w:szCs w:val="18"/>
                <w:highlight w:val="none"/>
              </w:rPr>
              <w:t xml:space="preserve">  7. </w:t>
            </w:r>
            <w:r>
              <w:rPr>
                <w:rFonts w:hint="eastAsia"/>
                <w:bCs/>
                <w:color w:val="auto"/>
                <w:sz w:val="18"/>
                <w:szCs w:val="18"/>
                <w:highlight w:val="none"/>
              </w:rPr>
              <w:t>□□□□.T</w:t>
            </w:r>
            <w:r>
              <w:rPr>
                <w:bCs/>
                <w:color w:val="auto"/>
                <w:sz w:val="18"/>
                <w:szCs w:val="18"/>
                <w:highlight w:val="none"/>
              </w:rPr>
              <w:t xml:space="preserve">   8. </w:t>
            </w:r>
            <w:r>
              <w:rPr>
                <w:rFonts w:hint="eastAsia"/>
                <w:bCs/>
                <w:color w:val="auto"/>
                <w:sz w:val="18"/>
                <w:szCs w:val="18"/>
                <w:highlight w:val="none"/>
              </w:rPr>
              <w:t>□□□.L或者□□□□.L</w:t>
            </w:r>
            <w:r>
              <w:rPr>
                <w:bCs/>
                <w:color w:val="auto"/>
                <w:sz w:val="18"/>
                <w:szCs w:val="18"/>
                <w:highlight w:val="none"/>
              </w:rPr>
              <w:t xml:space="preserve">  </w:t>
            </w:r>
          </w:p>
          <w:p>
            <w:pPr>
              <w:snapToGrid w:val="0"/>
              <w:spacing w:line="280" w:lineRule="exact"/>
              <w:rPr>
                <w:bCs/>
                <w:color w:val="auto"/>
                <w:sz w:val="18"/>
                <w:szCs w:val="18"/>
                <w:highlight w:val="none"/>
              </w:rPr>
            </w:pPr>
            <w:r>
              <w:rPr>
                <w:rFonts w:hint="eastAsia"/>
                <w:bCs/>
                <w:color w:val="auto"/>
                <w:sz w:val="18"/>
                <w:szCs w:val="18"/>
                <w:highlight w:val="none"/>
              </w:rPr>
              <w:t>9.（代码+.市场字母标识）</w:t>
            </w:r>
          </w:p>
          <w:p>
            <w:pPr>
              <w:pStyle w:val="9"/>
              <w:spacing w:after="0" w:line="280" w:lineRule="exact"/>
              <w:rPr>
                <w:bCs/>
                <w:color w:val="auto"/>
                <w:sz w:val="18"/>
                <w:szCs w:val="18"/>
                <w:highlight w:val="none"/>
              </w:rPr>
            </w:pPr>
            <w:r>
              <w:rPr>
                <w:rFonts w:hint="eastAsia"/>
                <w:bCs/>
                <w:color w:val="auto"/>
                <w:sz w:val="18"/>
                <w:szCs w:val="18"/>
                <w:highlight w:val="none"/>
              </w:rPr>
              <w:t>上市时间（QB15_2）□□□□年</w:t>
            </w:r>
          </w:p>
          <w:p>
            <w:pPr>
              <w:pStyle w:val="9"/>
              <w:spacing w:after="0" w:line="280" w:lineRule="exact"/>
              <w:rPr>
                <w:rFonts w:ascii="Times New Roman" w:hAnsi="Times New Roman"/>
                <w:bCs/>
                <w:color w:val="auto"/>
                <w:highlight w:val="none"/>
              </w:rPr>
            </w:pPr>
            <w:r>
              <w:rPr>
                <w:rFonts w:hint="eastAsia"/>
                <w:bCs/>
                <w:color w:val="auto"/>
                <w:sz w:val="18"/>
                <w:szCs w:val="18"/>
                <w:highlight w:val="none"/>
              </w:rPr>
              <w:t>年末市值（QB15_5）千元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6"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bCs/>
                <w:color w:val="auto"/>
                <w:sz w:val="18"/>
                <w:szCs w:val="18"/>
                <w:highlight w:val="none"/>
              </w:rPr>
              <w:t>QB16</w:t>
            </w:r>
          </w:p>
        </w:tc>
        <w:tc>
          <w:tcPr>
            <w:tcW w:w="8974" w:type="dxa"/>
            <w:tcBorders>
              <w:top w:val="single" w:color="auto" w:sz="4" w:space="0"/>
              <w:left w:val="single" w:color="auto" w:sz="2" w:space="0"/>
              <w:bottom w:val="single" w:color="auto" w:sz="2"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企业所属技术领域□□□按照企业主营产品进行填报，只限一项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26" w:hRule="atLeast"/>
          <w:jc w:val="center"/>
        </w:trPr>
        <w:tc>
          <w:tcPr>
            <w:tcW w:w="881" w:type="dxa"/>
            <w:tcBorders>
              <w:top w:val="single" w:color="auto" w:sz="2" w:space="0"/>
              <w:left w:val="nil"/>
              <w:bottom w:val="single" w:color="auto" w:sz="8"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bCs/>
                <w:color w:val="auto"/>
                <w:sz w:val="18"/>
                <w:szCs w:val="18"/>
                <w:highlight w:val="none"/>
              </w:rPr>
              <w:t>QB16_1</w:t>
            </w:r>
          </w:p>
        </w:tc>
        <w:tc>
          <w:tcPr>
            <w:tcW w:w="8974" w:type="dxa"/>
            <w:tcBorders>
              <w:top w:val="single" w:color="auto" w:sz="2" w:space="0"/>
              <w:left w:val="single" w:color="auto" w:sz="2" w:space="0"/>
              <w:bottom w:val="single" w:color="auto" w:sz="8"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企业核心技术所属《国家重点支持的高新技术领域》□□□□□□</w:t>
            </w:r>
          </w:p>
        </w:tc>
      </w:tr>
    </w:tbl>
    <w:p>
      <w:pPr>
        <w:snapToGrid w:val="0"/>
        <w:spacing w:line="280" w:lineRule="exact"/>
        <w:rPr>
          <w:rFonts w:hint="eastAsia" w:ascii="Times New Roman" w:hAnsi="Times New Roman" w:eastAsia="宋体" w:cs="Times New Roman"/>
          <w:bCs/>
          <w:color w:val="auto"/>
          <w:sz w:val="18"/>
          <w:szCs w:val="18"/>
          <w:highlight w:val="none"/>
          <w:lang w:eastAsia="zh-CN"/>
        </w:rPr>
      </w:pPr>
    </w:p>
    <w:p>
      <w:pPr>
        <w:snapToGrid w:val="0"/>
        <w:spacing w:line="280" w:lineRule="exact"/>
        <w:rPr>
          <w:rFonts w:hint="eastAsia" w:ascii="Times New Roman" w:hAnsi="Times New Roman" w:eastAsia="宋体" w:cs="Times New Roman"/>
          <w:bCs/>
          <w:color w:val="auto"/>
          <w:sz w:val="18"/>
          <w:szCs w:val="18"/>
          <w:highlight w:val="none"/>
          <w:lang w:eastAsia="zh-CN"/>
        </w:rPr>
      </w:pPr>
      <w:r>
        <w:rPr>
          <w:rFonts w:hint="eastAsia" w:ascii="Times New Roman" w:hAnsi="Times New Roman" w:eastAsia="宋体" w:cs="Times New Roman"/>
          <w:bCs/>
          <w:color w:val="auto"/>
          <w:sz w:val="18"/>
          <w:szCs w:val="18"/>
          <w:highlight w:val="none"/>
          <w:lang w:eastAsia="zh-CN"/>
        </w:rPr>
        <w:t>续表二：</w:t>
      </w:r>
    </w:p>
    <w:tbl>
      <w:tblPr>
        <w:tblStyle w:val="34"/>
        <w:tblW w:w="985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81"/>
        <w:gridCol w:w="897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8" w:space="0"/>
              <w:left w:val="nil"/>
              <w:bottom w:val="single" w:color="auto" w:sz="4" w:space="0"/>
              <w:right w:val="single" w:color="auto" w:sz="2" w:space="0"/>
            </w:tcBorders>
            <w:noWrap w:val="0"/>
            <w:vAlign w:val="center"/>
          </w:tcPr>
          <w:p>
            <w:pPr>
              <w:snapToGrid w:val="0"/>
              <w:spacing w:line="280" w:lineRule="exact"/>
              <w:jc w:val="center"/>
              <w:rPr>
                <w:rFonts w:hint="eastAsia"/>
                <w:bCs/>
                <w:color w:val="auto"/>
                <w:kern w:val="2"/>
                <w:sz w:val="18"/>
                <w:szCs w:val="18"/>
                <w:highlight w:val="none"/>
                <w:lang w:val="en-US" w:eastAsia="zh-CN" w:bidi="ar-SA"/>
              </w:rPr>
            </w:pPr>
            <w:r>
              <w:rPr>
                <w:bCs/>
                <w:color w:val="auto"/>
                <w:sz w:val="18"/>
                <w:szCs w:val="18"/>
                <w:highlight w:val="none"/>
              </w:rPr>
              <w:t>QB16_</w:t>
            </w:r>
            <w:r>
              <w:rPr>
                <w:rFonts w:hint="eastAsia"/>
                <w:bCs/>
                <w:color w:val="auto"/>
                <w:sz w:val="18"/>
                <w:szCs w:val="18"/>
                <w:highlight w:val="none"/>
              </w:rPr>
              <w:t>2</w:t>
            </w:r>
          </w:p>
        </w:tc>
        <w:tc>
          <w:tcPr>
            <w:tcW w:w="8974" w:type="dxa"/>
            <w:tcBorders>
              <w:top w:val="single" w:color="auto" w:sz="8" w:space="0"/>
              <w:left w:val="single" w:color="auto" w:sz="2" w:space="0"/>
              <w:bottom w:val="single" w:color="auto" w:sz="4" w:space="0"/>
              <w:right w:val="nil"/>
            </w:tcBorders>
            <w:noWrap w:val="0"/>
            <w:vAlign w:val="center"/>
          </w:tcPr>
          <w:p>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企业所属战略性新兴产业领域□□□□□□</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eastAsia"/>
                <w:bCs/>
                <w:color w:val="auto"/>
                <w:kern w:val="2"/>
                <w:sz w:val="18"/>
                <w:szCs w:val="18"/>
                <w:highlight w:val="none"/>
                <w:lang w:val="en-US" w:eastAsia="zh-CN" w:bidi="ar-SA"/>
              </w:rPr>
            </w:pPr>
            <w:r>
              <w:rPr>
                <w:rFonts w:hint="eastAsia"/>
                <w:bCs/>
                <w:color w:val="auto"/>
                <w:sz w:val="18"/>
                <w:szCs w:val="18"/>
                <w:highlight w:val="none"/>
              </w:rPr>
              <w:t>QB</w:t>
            </w:r>
            <w:r>
              <w:rPr>
                <w:bCs/>
                <w:color w:val="auto"/>
                <w:sz w:val="18"/>
                <w:szCs w:val="18"/>
                <w:highlight w:val="none"/>
              </w:rPr>
              <w:t>32</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业务</w:t>
            </w:r>
            <w:r>
              <w:rPr>
                <w:bCs/>
                <w:color w:val="auto"/>
                <w:sz w:val="18"/>
                <w:szCs w:val="18"/>
                <w:highlight w:val="none"/>
              </w:rPr>
              <w:t>系统是否向云端迁移</w:t>
            </w:r>
            <w:r>
              <w:rPr>
                <w:rFonts w:hint="eastAsia"/>
                <w:bCs/>
                <w:color w:val="auto"/>
                <w:sz w:val="18"/>
                <w:szCs w:val="18"/>
                <w:highlight w:val="none"/>
              </w:rPr>
              <w:t xml:space="preserve">  □是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eastAsia"/>
                <w:bCs/>
                <w:color w:val="auto"/>
                <w:kern w:val="2"/>
                <w:sz w:val="18"/>
                <w:szCs w:val="18"/>
                <w:highlight w:val="none"/>
                <w:lang w:val="en-US" w:eastAsia="zh-CN" w:bidi="ar-SA"/>
              </w:rPr>
            </w:pPr>
            <w:r>
              <w:rPr>
                <w:rFonts w:hint="eastAsia"/>
                <w:bCs/>
                <w:color w:val="auto"/>
                <w:sz w:val="18"/>
                <w:szCs w:val="18"/>
                <w:highlight w:val="none"/>
              </w:rPr>
              <w:t>QB</w:t>
            </w:r>
            <w:r>
              <w:rPr>
                <w:bCs/>
                <w:color w:val="auto"/>
                <w:sz w:val="18"/>
                <w:szCs w:val="18"/>
                <w:highlight w:val="none"/>
              </w:rPr>
              <w:t>3</w:t>
            </w:r>
            <w:r>
              <w:rPr>
                <w:rFonts w:hint="eastAsia"/>
                <w:bCs/>
                <w:color w:val="auto"/>
                <w:sz w:val="18"/>
                <w:szCs w:val="18"/>
                <w:highlight w:val="none"/>
                <w:lang w:eastAsia="zh-CN"/>
              </w:rPr>
              <w:t>8</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hint="eastAsia"/>
                <w:bCs/>
                <w:color w:val="auto"/>
                <w:kern w:val="2"/>
                <w:sz w:val="18"/>
                <w:szCs w:val="18"/>
                <w:highlight w:val="none"/>
                <w:lang w:val="en-US" w:eastAsia="zh-CN" w:bidi="ar-SA"/>
              </w:rPr>
            </w:pPr>
            <w:r>
              <w:rPr>
                <w:rFonts w:hint="eastAsia"/>
                <w:bCs/>
                <w:color w:val="auto"/>
                <w:sz w:val="18"/>
                <w:szCs w:val="18"/>
                <w:highlight w:val="none"/>
              </w:rPr>
              <w:t xml:space="preserve">是否拥有实体经济和数字经济融合相关试点、典型案例 </w:t>
            </w:r>
            <w:r>
              <w:rPr>
                <w:rFonts w:hint="eastAsia"/>
                <w:bCs/>
                <w:color w:val="auto"/>
                <w:sz w:val="18"/>
                <w:szCs w:val="18"/>
                <w:highlight w:val="none"/>
              </w:rPr>
              <w:tab/>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4" w:space="0"/>
              <w:right w:val="single" w:color="auto" w:sz="2" w:space="0"/>
            </w:tcBorders>
            <w:noWrap w:val="0"/>
            <w:vAlign w:val="center"/>
          </w:tcPr>
          <w:p>
            <w:pPr>
              <w:snapToGrid w:val="0"/>
              <w:spacing w:line="280" w:lineRule="exact"/>
              <w:jc w:val="center"/>
              <w:rPr>
                <w:rFonts w:hint="default"/>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34</w:t>
            </w:r>
          </w:p>
        </w:tc>
        <w:tc>
          <w:tcPr>
            <w:tcW w:w="8974" w:type="dxa"/>
            <w:tcBorders>
              <w:top w:val="single" w:color="auto" w:sz="4" w:space="0"/>
              <w:left w:val="single" w:color="auto" w:sz="2" w:space="0"/>
              <w:bottom w:val="single" w:color="auto" w:sz="4"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w:t>
            </w:r>
            <w:r>
              <w:rPr>
                <w:bCs/>
                <w:color w:val="auto"/>
                <w:sz w:val="18"/>
                <w:szCs w:val="18"/>
                <w:highlight w:val="none"/>
              </w:rPr>
              <w:t>是否</w:t>
            </w:r>
            <w:r>
              <w:rPr>
                <w:rFonts w:hint="eastAsia"/>
                <w:bCs/>
                <w:color w:val="auto"/>
                <w:sz w:val="18"/>
                <w:szCs w:val="18"/>
                <w:highlight w:val="none"/>
              </w:rPr>
              <w:t xml:space="preserve">进行数字化转型 </w:t>
            </w:r>
            <w:r>
              <w:rPr>
                <w:bCs/>
                <w:color w:val="auto"/>
                <w:sz w:val="18"/>
                <w:szCs w:val="18"/>
                <w:highlight w:val="none"/>
              </w:rPr>
              <w:t xml:space="preserve"> </w:t>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4" w:space="0"/>
              <w:left w:val="nil"/>
              <w:bottom w:val="single" w:color="auto" w:sz="2" w:space="0"/>
              <w:right w:val="single" w:color="auto" w:sz="2" w:space="0"/>
            </w:tcBorders>
            <w:noWrap w:val="0"/>
            <w:vAlign w:val="center"/>
          </w:tcPr>
          <w:p>
            <w:pPr>
              <w:snapToGrid w:val="0"/>
              <w:spacing w:line="280" w:lineRule="exact"/>
              <w:jc w:val="center"/>
              <w:rPr>
                <w:rFonts w:hint="default"/>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34_1</w:t>
            </w:r>
          </w:p>
        </w:tc>
        <w:tc>
          <w:tcPr>
            <w:tcW w:w="8974" w:type="dxa"/>
            <w:tcBorders>
              <w:top w:val="single" w:color="auto" w:sz="4" w:space="0"/>
              <w:left w:val="single" w:color="auto" w:sz="2" w:space="0"/>
              <w:bottom w:val="single" w:color="auto" w:sz="2"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如</w:t>
            </w:r>
            <w:r>
              <w:rPr>
                <w:bCs/>
                <w:color w:val="auto"/>
                <w:sz w:val="18"/>
                <w:szCs w:val="18"/>
                <w:highlight w:val="none"/>
              </w:rPr>
              <w:t>是，请明确</w:t>
            </w:r>
            <w:r>
              <w:rPr>
                <w:rFonts w:hint="eastAsia"/>
                <w:bCs/>
                <w:color w:val="auto"/>
                <w:sz w:val="18"/>
                <w:szCs w:val="18"/>
                <w:highlight w:val="none"/>
              </w:rPr>
              <w:t>本年用于</w:t>
            </w:r>
            <w:r>
              <w:rPr>
                <w:bCs/>
                <w:color w:val="auto"/>
                <w:sz w:val="18"/>
                <w:szCs w:val="18"/>
                <w:highlight w:val="none"/>
              </w:rPr>
              <w:t>数字化转型的</w:t>
            </w:r>
            <w:r>
              <w:rPr>
                <w:rFonts w:hint="eastAsia"/>
                <w:bCs/>
                <w:color w:val="auto"/>
                <w:sz w:val="18"/>
                <w:szCs w:val="18"/>
                <w:highlight w:val="none"/>
              </w:rPr>
              <w:t>经费投入__________千元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lang w:val="en-US" w:eastAsia="zh-CN"/>
              </w:rPr>
            </w:pPr>
            <w:r>
              <w:rPr>
                <w:rFonts w:hint="eastAsia"/>
                <w:bCs/>
                <w:color w:val="auto"/>
                <w:sz w:val="18"/>
                <w:szCs w:val="18"/>
                <w:highlight w:val="none"/>
              </w:rPr>
              <w:t>QB</w:t>
            </w:r>
            <w:r>
              <w:rPr>
                <w:rFonts w:hint="eastAsia"/>
                <w:bCs/>
                <w:color w:val="auto"/>
                <w:sz w:val="18"/>
                <w:szCs w:val="18"/>
                <w:highlight w:val="none"/>
                <w:lang w:val="en-US" w:eastAsia="zh-CN"/>
              </w:rPr>
              <w:t>35</w:t>
            </w:r>
          </w:p>
        </w:tc>
        <w:tc>
          <w:tcPr>
            <w:tcW w:w="8974" w:type="dxa"/>
            <w:tcBorders>
              <w:top w:val="single" w:color="auto" w:sz="2" w:space="0"/>
              <w:left w:val="single" w:color="auto" w:sz="2" w:space="0"/>
              <w:bottom w:val="single" w:color="auto" w:sz="2" w:space="0"/>
              <w:right w:val="nil"/>
            </w:tcBorders>
            <w:noWrap w:val="0"/>
            <w:vAlign w:val="center"/>
          </w:tcPr>
          <w:p>
            <w:pPr>
              <w:snapToGrid w:val="0"/>
              <w:spacing w:line="280" w:lineRule="exact"/>
              <w:rPr>
                <w:rFonts w:hint="eastAsia"/>
                <w:bCs/>
                <w:color w:val="auto"/>
                <w:sz w:val="18"/>
                <w:szCs w:val="18"/>
                <w:highlight w:val="none"/>
              </w:rPr>
            </w:pPr>
            <w:r>
              <w:rPr>
                <w:rFonts w:hint="eastAsia"/>
                <w:bCs/>
                <w:color w:val="auto"/>
                <w:sz w:val="18"/>
                <w:szCs w:val="18"/>
                <w:highlight w:val="none"/>
              </w:rPr>
              <w:t>企业</w:t>
            </w:r>
            <w:r>
              <w:rPr>
                <w:bCs/>
                <w:color w:val="auto"/>
                <w:sz w:val="18"/>
                <w:szCs w:val="18"/>
                <w:highlight w:val="none"/>
              </w:rPr>
              <w:t>拥有工业机器人数量</w:t>
            </w:r>
            <w:r>
              <w:rPr>
                <w:rFonts w:hint="eastAsia"/>
                <w:bCs/>
                <w:color w:val="auto"/>
                <w:sz w:val="18"/>
                <w:szCs w:val="18"/>
                <w:highlight w:val="none"/>
              </w:rPr>
              <w:t>_______个</w:t>
            </w:r>
            <w:r>
              <w:rPr>
                <w:bCs/>
                <w:color w:val="auto"/>
                <w:sz w:val="18"/>
                <w:szCs w:val="18"/>
                <w:highlight w:val="none"/>
              </w:rPr>
              <w:t>（</w:t>
            </w:r>
            <w:r>
              <w:rPr>
                <w:rFonts w:hint="eastAsia"/>
                <w:bCs/>
                <w:color w:val="auto"/>
                <w:sz w:val="18"/>
                <w:szCs w:val="18"/>
                <w:highlight w:val="none"/>
              </w:rPr>
              <w:t>仅</w:t>
            </w:r>
            <w:r>
              <w:rPr>
                <w:bCs/>
                <w:color w:val="auto"/>
                <w:sz w:val="18"/>
                <w:szCs w:val="18"/>
                <w:highlight w:val="none"/>
              </w:rPr>
              <w:t>工业企业填报）</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rFonts w:hint="eastAsia"/>
                <w:bCs/>
                <w:color w:val="auto"/>
                <w:sz w:val="18"/>
                <w:szCs w:val="18"/>
                <w:highlight w:val="none"/>
              </w:rPr>
              <w:t>QB</w:t>
            </w:r>
            <w:r>
              <w:rPr>
                <w:rFonts w:hint="eastAsia"/>
                <w:bCs/>
                <w:color w:val="auto"/>
                <w:sz w:val="18"/>
                <w:szCs w:val="18"/>
                <w:highlight w:val="none"/>
                <w:lang w:val="en-US" w:eastAsia="zh-CN"/>
              </w:rPr>
              <w:t>36</w:t>
            </w:r>
          </w:p>
        </w:tc>
        <w:tc>
          <w:tcPr>
            <w:tcW w:w="8974" w:type="dxa"/>
            <w:tcBorders>
              <w:top w:val="single" w:color="auto" w:sz="2" w:space="0"/>
              <w:left w:val="single" w:color="auto" w:sz="2" w:space="0"/>
              <w:bottom w:val="single" w:color="auto" w:sz="2" w:space="0"/>
              <w:right w:val="nil"/>
            </w:tcBorders>
            <w:noWrap w:val="0"/>
            <w:vAlign w:val="center"/>
          </w:tcPr>
          <w:p>
            <w:pPr>
              <w:snapToGrid w:val="0"/>
              <w:spacing w:line="280" w:lineRule="exact"/>
              <w:rPr>
                <w:rFonts w:hint="default" w:eastAsia="宋体"/>
                <w:bCs/>
                <w:color w:val="auto"/>
                <w:sz w:val="18"/>
                <w:szCs w:val="18"/>
                <w:highlight w:val="none"/>
                <w:lang w:val="en-US" w:eastAsia="zh-CN"/>
              </w:rPr>
            </w:pPr>
            <w:r>
              <w:rPr>
                <w:rFonts w:hint="eastAsia"/>
                <w:bCs/>
                <w:color w:val="auto"/>
                <w:sz w:val="18"/>
                <w:szCs w:val="18"/>
                <w:highlight w:val="none"/>
                <w:lang w:eastAsia="zh-CN"/>
              </w:rPr>
              <w:t>企业是否建立企业研发准备金</w:t>
            </w:r>
            <w:r>
              <w:rPr>
                <w:rFonts w:hint="eastAsia"/>
                <w:bCs/>
                <w:color w:val="auto"/>
                <w:sz w:val="18"/>
                <w:szCs w:val="18"/>
                <w:highlight w:val="none"/>
              </w:rPr>
              <w:t xml:space="preserve"> </w:t>
            </w:r>
            <w:r>
              <w:rPr>
                <w:bCs/>
                <w:color w:val="auto"/>
                <w:sz w:val="18"/>
                <w:szCs w:val="18"/>
                <w:highlight w:val="none"/>
              </w:rPr>
              <w:t xml:space="preserve"> </w:t>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2" w:space="0"/>
              <w:right w:val="single" w:color="auto" w:sz="2" w:space="0"/>
            </w:tcBorders>
            <w:noWrap w:val="0"/>
            <w:vAlign w:val="center"/>
          </w:tcPr>
          <w:p>
            <w:pPr>
              <w:snapToGrid w:val="0"/>
              <w:spacing w:line="280" w:lineRule="exact"/>
              <w:jc w:val="center"/>
              <w:rPr>
                <w:rFonts w:hint="eastAsia"/>
                <w:bCs/>
                <w:color w:val="auto"/>
                <w:sz w:val="18"/>
                <w:szCs w:val="18"/>
                <w:highlight w:val="none"/>
              </w:rPr>
            </w:pPr>
            <w:r>
              <w:rPr>
                <w:rFonts w:hint="eastAsia"/>
                <w:bCs/>
                <w:color w:val="auto"/>
                <w:sz w:val="18"/>
                <w:szCs w:val="18"/>
                <w:highlight w:val="none"/>
              </w:rPr>
              <w:t>QB</w:t>
            </w:r>
            <w:r>
              <w:rPr>
                <w:rFonts w:hint="eastAsia"/>
                <w:bCs/>
                <w:color w:val="auto"/>
                <w:sz w:val="18"/>
                <w:szCs w:val="18"/>
                <w:highlight w:val="none"/>
                <w:lang w:val="en-US" w:eastAsia="zh-CN"/>
              </w:rPr>
              <w:t>37</w:t>
            </w:r>
          </w:p>
        </w:tc>
        <w:tc>
          <w:tcPr>
            <w:tcW w:w="8974" w:type="dxa"/>
            <w:tcBorders>
              <w:top w:val="single" w:color="auto" w:sz="2" w:space="0"/>
              <w:left w:val="single" w:color="auto" w:sz="2" w:space="0"/>
              <w:bottom w:val="single" w:color="auto" w:sz="2" w:space="0"/>
              <w:right w:val="nil"/>
            </w:tcBorders>
            <w:noWrap w:val="0"/>
            <w:vAlign w:val="center"/>
          </w:tcPr>
          <w:p>
            <w:pPr>
              <w:snapToGrid w:val="0"/>
              <w:spacing w:line="280" w:lineRule="exact"/>
              <w:rPr>
                <w:rFonts w:hint="eastAsia" w:eastAsia="宋体"/>
                <w:bCs/>
                <w:color w:val="auto"/>
                <w:sz w:val="18"/>
                <w:szCs w:val="18"/>
                <w:highlight w:val="none"/>
                <w:lang w:eastAsia="zh-CN"/>
              </w:rPr>
            </w:pPr>
            <w:r>
              <w:rPr>
                <w:rFonts w:hint="eastAsia"/>
                <w:bCs/>
                <w:color w:val="auto"/>
                <w:sz w:val="18"/>
                <w:szCs w:val="18"/>
                <w:highlight w:val="none"/>
                <w:lang w:eastAsia="zh-CN"/>
              </w:rPr>
              <w:t>企业是否通过质量</w:t>
            </w:r>
            <w:r>
              <w:rPr>
                <w:rFonts w:hint="eastAsia"/>
                <w:bCs/>
                <w:color w:val="auto"/>
                <w:sz w:val="18"/>
                <w:szCs w:val="18"/>
                <w:highlight w:val="none"/>
                <w:lang w:val="en-US" w:eastAsia="zh-CN"/>
              </w:rPr>
              <w:t>管理</w:t>
            </w:r>
            <w:r>
              <w:rPr>
                <w:rFonts w:hint="eastAsia"/>
                <w:bCs/>
                <w:color w:val="auto"/>
                <w:sz w:val="18"/>
                <w:szCs w:val="18"/>
                <w:highlight w:val="none"/>
                <w:lang w:eastAsia="zh-CN"/>
              </w:rPr>
              <w:t>体系认证</w:t>
            </w:r>
            <w:r>
              <w:rPr>
                <w:rFonts w:hint="eastAsia"/>
                <w:bCs/>
                <w:color w:val="auto"/>
                <w:sz w:val="18"/>
                <w:szCs w:val="18"/>
                <w:highlight w:val="none"/>
              </w:rPr>
              <w:t xml:space="preserve"> </w:t>
            </w:r>
            <w:r>
              <w:rPr>
                <w:bCs/>
                <w:color w:val="auto"/>
                <w:sz w:val="18"/>
                <w:szCs w:val="18"/>
                <w:highlight w:val="none"/>
              </w:rPr>
              <w:t xml:space="preserve"> </w:t>
            </w:r>
            <w:r>
              <w:rPr>
                <w:rFonts w:hint="eastAsia"/>
                <w:bCs/>
                <w:color w:val="auto"/>
                <w:sz w:val="18"/>
                <w:szCs w:val="18"/>
                <w:highlight w:val="none"/>
              </w:rPr>
              <w:t>□是     □否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7" w:hRule="atLeast"/>
          <w:jc w:val="center"/>
        </w:trPr>
        <w:tc>
          <w:tcPr>
            <w:tcW w:w="881" w:type="dxa"/>
            <w:tcBorders>
              <w:top w:val="single" w:color="auto" w:sz="2" w:space="0"/>
              <w:left w:val="nil"/>
              <w:bottom w:val="single" w:color="auto" w:sz="8" w:space="0"/>
              <w:right w:val="single" w:color="auto" w:sz="2" w:space="0"/>
            </w:tcBorders>
            <w:noWrap w:val="0"/>
            <w:vAlign w:val="center"/>
          </w:tcPr>
          <w:p>
            <w:pPr>
              <w:snapToGrid w:val="0"/>
              <w:spacing w:line="280" w:lineRule="exact"/>
              <w:jc w:val="center"/>
              <w:rPr>
                <w:rFonts w:hint="default"/>
                <w:bCs/>
                <w:color w:val="auto"/>
                <w:sz w:val="18"/>
                <w:szCs w:val="18"/>
                <w:highlight w:val="none"/>
                <w:lang w:val="en-US"/>
              </w:rPr>
            </w:pPr>
            <w:r>
              <w:rPr>
                <w:rFonts w:hint="eastAsia"/>
                <w:bCs/>
                <w:color w:val="auto"/>
                <w:sz w:val="18"/>
                <w:szCs w:val="18"/>
                <w:highlight w:val="none"/>
              </w:rPr>
              <w:t>QB</w:t>
            </w:r>
            <w:r>
              <w:rPr>
                <w:rFonts w:hint="eastAsia"/>
                <w:bCs/>
                <w:color w:val="auto"/>
                <w:sz w:val="18"/>
                <w:szCs w:val="18"/>
                <w:highlight w:val="none"/>
                <w:lang w:val="en-US" w:eastAsia="zh-CN"/>
              </w:rPr>
              <w:t>37_1</w:t>
            </w:r>
          </w:p>
        </w:tc>
        <w:tc>
          <w:tcPr>
            <w:tcW w:w="8974" w:type="dxa"/>
            <w:tcBorders>
              <w:top w:val="single" w:color="auto" w:sz="2" w:space="0"/>
              <w:left w:val="single" w:color="auto" w:sz="2" w:space="0"/>
              <w:bottom w:val="single" w:color="auto" w:sz="8" w:space="0"/>
              <w:right w:val="nil"/>
            </w:tcBorders>
            <w:noWrap w:val="0"/>
            <w:vAlign w:val="center"/>
          </w:tcPr>
          <w:p>
            <w:pPr>
              <w:snapToGrid w:val="0"/>
              <w:spacing w:line="280" w:lineRule="exact"/>
              <w:rPr>
                <w:rFonts w:hint="default"/>
                <w:bCs/>
                <w:color w:val="auto"/>
                <w:sz w:val="18"/>
                <w:szCs w:val="18"/>
                <w:highlight w:val="none"/>
                <w:lang w:val="en-US" w:eastAsia="zh-CN"/>
              </w:rPr>
            </w:pPr>
            <w:r>
              <w:rPr>
                <w:rFonts w:hint="eastAsia"/>
                <w:bCs/>
                <w:color w:val="auto"/>
                <w:sz w:val="18"/>
                <w:szCs w:val="18"/>
                <w:highlight w:val="none"/>
                <w:lang w:eastAsia="zh-CN"/>
              </w:rPr>
              <w:t>如通过质量管理体系认证，</w:t>
            </w:r>
            <w:r>
              <w:rPr>
                <w:rFonts w:hint="eastAsia"/>
                <w:bCs/>
                <w:color w:val="auto"/>
                <w:sz w:val="18"/>
                <w:szCs w:val="18"/>
                <w:highlight w:val="none"/>
                <w:lang w:val="en-US" w:eastAsia="zh-CN"/>
              </w:rPr>
              <w:t>适用标准为       ，证书编号为        。</w:t>
            </w:r>
          </w:p>
        </w:tc>
      </w:tr>
    </w:tbl>
    <w:p>
      <w:pPr>
        <w:spacing w:line="40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360" w:lineRule="exact"/>
        <w:rPr>
          <w:rFonts w:ascii="Times New Roman" w:hAnsi="Times New Roman"/>
          <w:bCs/>
          <w:color w:val="auto"/>
          <w:highlight w:val="none"/>
        </w:rPr>
      </w:pPr>
    </w:p>
    <w:p>
      <w:pPr>
        <w:widowControl/>
        <w:spacing w:line="360" w:lineRule="exact"/>
        <w:ind w:left="720" w:hanging="720" w:hangingChars="400"/>
        <w:jc w:val="left"/>
        <w:rPr>
          <w:rFonts w:ascii="Times New Roman" w:hAnsi="Times New Roman"/>
          <w:bCs/>
          <w:color w:val="auto"/>
          <w:sz w:val="18"/>
          <w:szCs w:val="18"/>
          <w:highlight w:val="none"/>
        </w:rPr>
      </w:pPr>
      <w:r>
        <w:rPr>
          <w:rFonts w:ascii="Times New Roman" w:hAnsi="Times New Roman"/>
          <w:bCs/>
          <w:color w:val="auto"/>
          <w:sz w:val="18"/>
          <w:szCs w:val="18"/>
          <w:highlight w:val="none"/>
        </w:rPr>
        <w:t>说明：</w:t>
      </w:r>
      <w:r>
        <w:rPr>
          <w:rFonts w:ascii="Times New Roman" w:hAnsi="Times New Roman"/>
          <w:bCs/>
          <w:color w:val="auto"/>
          <w:spacing w:val="-4"/>
          <w:sz w:val="18"/>
          <w:szCs w:val="18"/>
          <w:highlight w:val="none"/>
        </w:rPr>
        <w:t>此表中所有灰色底纹的指标均不需要企业填报，系统中这些指标为锁定状态，由系统通过其他途径获取。</w:t>
      </w:r>
    </w:p>
    <w:p>
      <w:pPr>
        <w:pStyle w:val="9"/>
        <w:rPr>
          <w:rFonts w:ascii="Times New Roman" w:hAnsi="Times New Roman"/>
          <w:bCs/>
          <w:color w:val="auto"/>
          <w:highlight w:val="none"/>
        </w:rPr>
      </w:pPr>
    </w:p>
    <w:p>
      <w:pPr>
        <w:tabs>
          <w:tab w:val="left" w:pos="753"/>
        </w:tabs>
        <w:spacing w:line="400" w:lineRule="exact"/>
        <w:jc w:val="center"/>
        <w:rPr>
          <w:rFonts w:ascii="Times New Roman" w:hAnsi="Times New Roman"/>
          <w:b/>
          <w:color w:val="auto"/>
          <w:sz w:val="32"/>
          <w:szCs w:val="32"/>
          <w:highlight w:val="none"/>
        </w:rPr>
      </w:pPr>
      <w:r>
        <w:rPr>
          <w:rFonts w:ascii="Times New Roman" w:hAnsi="Times New Roman"/>
          <w:color w:val="auto"/>
          <w:sz w:val="28"/>
          <w:szCs w:val="28"/>
          <w:highlight w:val="none"/>
        </w:rPr>
        <w:br w:type="page"/>
      </w:r>
      <w:r>
        <w:rPr>
          <w:rFonts w:hint="eastAsia" w:ascii="黑体" w:hAnsi="黑体" w:eastAsia="黑体" w:cs="黑体"/>
          <w:b w:val="0"/>
          <w:bCs/>
          <w:color w:val="auto"/>
          <w:kern w:val="0"/>
          <w:sz w:val="32"/>
          <w:szCs w:val="32"/>
          <w:highlight w:val="none"/>
        </w:rPr>
        <w:t>指标解释</w:t>
      </w:r>
    </w:p>
    <w:p>
      <w:pPr>
        <w:pStyle w:val="9"/>
        <w:rPr>
          <w:rFonts w:ascii="Times New Roman" w:hAnsi="Times New Roman"/>
          <w:color w:val="auto"/>
          <w:highlight w:val="none"/>
        </w:rPr>
      </w:pP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统一社会信用代码</w:t>
      </w:r>
      <w:r>
        <w:rPr>
          <w:rFonts w:hint="eastAsia" w:ascii="Times New Roman" w:hAnsi="Times New Roman"/>
          <w:bCs/>
          <w:color w:val="auto"/>
          <w:szCs w:val="21"/>
          <w:highlight w:val="none"/>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行政区划代码</w:t>
      </w:r>
      <w:r>
        <w:rPr>
          <w:rFonts w:ascii="Times New Roman" w:hAnsi="Times New Roman"/>
          <w:bCs/>
          <w:color w:val="auto"/>
          <w:szCs w:val="21"/>
          <w:highlight w:val="none"/>
        </w:rPr>
        <w:t>由企业根据实际办公所在地，按照国家统计局网站上公布的最新的县及</w:t>
      </w:r>
      <w:r>
        <w:rPr>
          <w:rFonts w:hint="eastAsia"/>
          <w:bCs/>
          <w:color w:val="auto"/>
          <w:szCs w:val="21"/>
          <w:highlight w:val="none"/>
          <w:lang w:eastAsia="zh-CN"/>
        </w:rPr>
        <w:t>县</w:t>
      </w:r>
      <w:r>
        <w:rPr>
          <w:rFonts w:ascii="Times New Roman" w:hAnsi="Times New Roman"/>
          <w:bCs/>
          <w:color w:val="auto"/>
          <w:szCs w:val="24"/>
          <w:highlight w:val="none"/>
        </w:rPr>
        <w:t>以上行政区划代码填报</w:t>
      </w:r>
      <w:r>
        <w:rPr>
          <w:rFonts w:ascii="Times New Roman" w:hAnsi="Times New Roman"/>
          <w:bCs/>
          <w:color w:val="auto"/>
          <w:szCs w:val="21"/>
          <w:highlight w:val="none"/>
        </w:rPr>
        <w:t>，由6位数字组成。</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企业（单位）详细名称</w:t>
      </w:r>
      <w:r>
        <w:rPr>
          <w:rFonts w:hint="eastAsia" w:ascii="Times New Roman" w:hAnsi="Times New Roman"/>
          <w:bCs/>
          <w:color w:val="auto"/>
          <w:szCs w:val="21"/>
          <w:highlight w:val="none"/>
        </w:rPr>
        <w:t>指经有关部门批准正式使用的单位全称。</w:t>
      </w:r>
      <w:r>
        <w:rPr>
          <w:rFonts w:ascii="宋体" w:hAnsi="宋体" w:cs="宋体"/>
          <w:color w:val="auto"/>
          <w:szCs w:val="21"/>
          <w:highlight w:val="none"/>
        </w:rPr>
        <w:t>填写时要求使用规范化</w:t>
      </w:r>
      <w:r>
        <w:rPr>
          <w:rFonts w:hint="eastAsia" w:ascii="宋体" w:hAnsi="宋体" w:cs="宋体"/>
          <w:color w:val="auto"/>
          <w:szCs w:val="21"/>
          <w:highlight w:val="none"/>
          <w:lang w:eastAsia="zh-CN"/>
        </w:rPr>
        <w:t>中文</w:t>
      </w:r>
      <w:r>
        <w:rPr>
          <w:rFonts w:ascii="宋体" w:hAnsi="宋体" w:cs="宋体"/>
          <w:color w:val="auto"/>
          <w:szCs w:val="21"/>
          <w:highlight w:val="none"/>
        </w:rPr>
        <w:t>，并与单位公章所使用的名称完全一致，不得使用简称、缩写等。</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企业（单位）英文名称</w:t>
      </w:r>
      <w:r>
        <w:rPr>
          <w:rFonts w:ascii="Times New Roman" w:hAnsi="Times New Roman"/>
          <w:bCs/>
          <w:color w:val="auto"/>
          <w:szCs w:val="21"/>
          <w:highlight w:val="none"/>
        </w:rPr>
        <w:t>选填项，如果有英文名称的企业（单位），请填写英文名称。</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eastAsia="黑体"/>
          <w:bCs/>
          <w:color w:val="auto"/>
          <w:szCs w:val="21"/>
          <w:highlight w:val="none"/>
          <w:lang w:eastAsia="zh-CN"/>
        </w:rPr>
        <w:t>机构类型</w:t>
      </w:r>
      <w:r>
        <w:rPr>
          <w:rFonts w:hint="eastAsia" w:ascii="Times New Roman" w:hAnsi="Times New Roman"/>
          <w:bCs/>
          <w:color w:val="auto"/>
          <w:szCs w:val="21"/>
          <w:highlight w:val="none"/>
        </w:rPr>
        <w:t>分为企业、事业单位、社会团体、</w:t>
      </w:r>
      <w:r>
        <w:rPr>
          <w:rFonts w:ascii="宋体" w:hAnsi="宋体" w:cs="宋体"/>
          <w:color w:val="auto"/>
          <w:szCs w:val="21"/>
          <w:highlight w:val="none"/>
        </w:rPr>
        <w:t>民办非企业单位</w:t>
      </w:r>
      <w:r>
        <w:rPr>
          <w:rFonts w:hint="eastAsia" w:ascii="Times New Roman" w:hAnsi="Times New Roman"/>
          <w:bCs/>
          <w:color w:val="auto"/>
          <w:szCs w:val="21"/>
          <w:highlight w:val="none"/>
        </w:rPr>
        <w:t>和其他组织机构。</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1.企业：包括（1）领取《企业法人营业执照》（或新版《营业执照》）的各类企业法人；（2）个人独资企业、合伙企业；（3）领取《营业执照》的企业法人分支机构或经营单位，个人独资企业和合</w:t>
      </w:r>
      <w:bookmarkStart w:id="37" w:name="_GoBack"/>
      <w:bookmarkEnd w:id="37"/>
      <w:r>
        <w:rPr>
          <w:rFonts w:hint="eastAsia" w:ascii="Times New Roman" w:hAnsi="Times New Roman"/>
          <w:bCs/>
          <w:color w:val="auto"/>
          <w:szCs w:val="21"/>
          <w:highlight w:val="none"/>
        </w:rPr>
        <w:t>伙企业的分支机构；（4）未经有关部门批准但实际从事生产经营活动、且符合产业活动单位条件的企业法人的组成部分。</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2.事业单位：包括（1）经机构编制部门批准成立和登记或备案，领取《事业单位法人证书》，取得法人资格的单位；（2）事业法人单位的本部及分支机构或派出机构。</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lang w:val="en-US" w:eastAsia="zh-CN"/>
        </w:rPr>
        <w:t>3</w:t>
      </w:r>
      <w:r>
        <w:rPr>
          <w:rFonts w:hint="eastAsia" w:ascii="Times New Roman" w:hAnsi="Times New Roman"/>
          <w:bCs/>
          <w:color w:val="auto"/>
          <w:szCs w:val="21"/>
          <w:highlight w:val="none"/>
        </w:rPr>
        <w:t>.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lang w:val="en-US" w:eastAsia="zh-CN"/>
        </w:rPr>
        <w:t>4</w:t>
      </w:r>
      <w:r>
        <w:rPr>
          <w:rFonts w:hint="eastAsia" w:ascii="Times New Roman" w:hAnsi="Times New Roman"/>
          <w:bCs/>
          <w:color w:val="auto"/>
          <w:szCs w:val="21"/>
          <w:highlight w:val="none"/>
        </w:rPr>
        <w:t>.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eastAsia="宋体" w:cs="Times New Roman"/>
          <w:b w:val="0"/>
          <w:bCs/>
          <w:color w:val="auto"/>
          <w:sz w:val="21"/>
          <w:szCs w:val="21"/>
          <w:highlight w:val="none"/>
          <w:lang w:val="en-US" w:eastAsia="zh-CN"/>
        </w:rPr>
        <w:t>5.其他组织机构：指除企业、事业单位、机关、社会团体、民办非企业单位、基金会、居民委员会、村民委员会、农民专业合作社和农村集体经济组织以外的其他符合法人和产业活动单位条件的机构。包括：律师事务所、基层法律服务机构和各类宗教活动场所等。</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企业注册地址</w:t>
      </w:r>
      <w:r>
        <w:rPr>
          <w:rFonts w:hint="eastAsia" w:ascii="Times New Roman" w:hAnsi="Times New Roman"/>
          <w:bCs/>
          <w:color w:val="auto"/>
          <w:szCs w:val="21"/>
          <w:highlight w:val="none"/>
        </w:rPr>
        <w:t>指单位在审批登记部门登记注册的地址。</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联系方式</w:t>
      </w:r>
      <w:r>
        <w:rPr>
          <w:rFonts w:hint="eastAsia" w:ascii="Times New Roman" w:hAnsi="Times New Roman"/>
          <w:bCs/>
          <w:color w:val="auto"/>
          <w:szCs w:val="21"/>
          <w:highlight w:val="none"/>
        </w:rPr>
        <w:t>包括固定电话、移动电话、传真电话和邮政编码等能够与单位取得联系的信息。</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企业隶属关系</w:t>
      </w:r>
      <w:r>
        <w:rPr>
          <w:rFonts w:hint="eastAsia" w:ascii="Times New Roman" w:hAnsi="Times New Roman"/>
          <w:bCs/>
          <w:color w:val="auto"/>
          <w:szCs w:val="21"/>
          <w:highlight w:val="none"/>
        </w:rPr>
        <w:t>指本单位隶属于哪一级行政管理单位。具体分为中央、地方和其他。中央与地方双重领导的单位，以领导为主的一方来划分隶属中央或地方。</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隶属于“中央”的单位兴办的集体企业，隶属关系填“其他”；省属以下的企业（单位）办的企业（单位），其隶属关系与企业（单位）本身的隶属关系一致。</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无主管部门的单位、本省（自治区、直辖市）在外省（自治区、直辖市）的办事机构所开办的第三产业等单位填“其他”。</w:t>
      </w:r>
    </w:p>
    <w:p>
      <w:pPr>
        <w:spacing w:line="400" w:lineRule="exact"/>
        <w:ind w:firstLine="420" w:firstLineChars="200"/>
        <w:rPr>
          <w:rFonts w:ascii="Times New Roman" w:hAnsi="Times New Roman"/>
          <w:bCs/>
          <w:color w:val="auto"/>
          <w:sz w:val="24"/>
          <w:szCs w:val="24"/>
          <w:highlight w:val="none"/>
        </w:rPr>
      </w:pPr>
      <w:r>
        <w:rPr>
          <w:rFonts w:hint="eastAsia" w:ascii="Times New Roman" w:hAnsi="Times New Roman" w:eastAsia="黑体"/>
          <w:bCs/>
          <w:color w:val="auto"/>
          <w:szCs w:val="21"/>
          <w:highlight w:val="none"/>
        </w:rPr>
        <w:t>主要业务活动或主要产品</w:t>
      </w:r>
      <w:r>
        <w:rPr>
          <w:rFonts w:hint="eastAsia"/>
          <w:bCs/>
          <w:color w:val="auto"/>
          <w:szCs w:val="21"/>
          <w:highlight w:val="none"/>
        </w:rPr>
        <w:t>具体填写各单位的一至三种主要业务活动</w:t>
      </w:r>
      <w:r>
        <w:rPr>
          <w:rFonts w:hint="eastAsia"/>
          <w:bCs/>
          <w:color w:val="auto"/>
          <w:szCs w:val="21"/>
          <w:highlight w:val="none"/>
          <w:lang w:eastAsia="zh-CN"/>
        </w:rPr>
        <w:t>或主要产品</w:t>
      </w:r>
      <w:r>
        <w:rPr>
          <w:rFonts w:hint="eastAsia"/>
          <w:bCs/>
          <w:color w:val="auto"/>
          <w:szCs w:val="21"/>
          <w:highlight w:val="none"/>
        </w:rPr>
        <w:t>名称，并按其重要程度或增加值所占比重，从大到小顺序排列。</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行业代码</w:t>
      </w:r>
      <w:r>
        <w:rPr>
          <w:rFonts w:hint="eastAsia" w:ascii="Times New Roman" w:hAnsi="Times New Roman"/>
          <w:bCs/>
          <w:color w:val="auto"/>
          <w:szCs w:val="21"/>
          <w:highlight w:val="none"/>
        </w:rPr>
        <w:t>对照《国民经济行业分类》（GB/T 4754－2017）填写行业代码</w:t>
      </w:r>
      <w:r>
        <w:rPr>
          <w:rFonts w:hint="eastAsia" w:ascii="Times New Roman" w:hAnsi="Times New Roman"/>
          <w:bCs/>
          <w:color w:val="auto"/>
          <w:szCs w:val="21"/>
          <w:highlight w:val="none"/>
          <w:lang w:eastAsia="zh-CN"/>
        </w:rPr>
        <w:t>。</w:t>
      </w:r>
      <w:r>
        <w:rPr>
          <w:rFonts w:ascii="Times New Roman" w:hAnsi="Times New Roman"/>
          <w:bCs/>
          <w:color w:val="auto"/>
          <w:szCs w:val="21"/>
          <w:highlight w:val="none"/>
        </w:rPr>
        <w:t>多种经济活动并存时，请选择最主要的一类填写。通过行业小类代码选择，反映企业经济活动性质。</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执行会计标准类别</w:t>
      </w:r>
      <w:r>
        <w:rPr>
          <w:rFonts w:hint="eastAsia" w:ascii="Times New Roman" w:hAnsi="Times New Roman"/>
          <w:bCs/>
          <w:color w:val="auto"/>
          <w:szCs w:val="21"/>
          <w:highlight w:val="none"/>
        </w:rPr>
        <w:t>分为执行企业会计准则制度、政府会计准则制度、民间非营利组织会计制度和其他四种情况。</w:t>
      </w:r>
      <w:r>
        <w:rPr>
          <w:rFonts w:ascii="Times New Roman" w:hAnsi="Times New Roman"/>
          <w:bCs/>
          <w:color w:val="auto"/>
          <w:szCs w:val="21"/>
          <w:highlight w:val="none"/>
        </w:rPr>
        <w:t>本项限法人单位填写。</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1.企业会计准则制度：执行企业会计准则、小企业会计准则和企业会计制度的企业选填此项。包括已纳入企业财务管理体系的单位。</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3.民间非营利组织会计制度：执行民间非营利组织会计制度的单位选填此项。包括执行民间非营利组织会计制度的社会团体、基金会、民办非企业单位和寺院、宫、观、清真寺、教堂等。</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4.其他：不执行以上三类会计制度的单位选填此项。</w:t>
      </w:r>
    </w:p>
    <w:p>
      <w:pPr>
        <w:spacing w:line="400" w:lineRule="exact"/>
        <w:ind w:firstLine="420" w:firstLineChars="200"/>
        <w:rPr>
          <w:rFonts w:hint="eastAsia" w:ascii="Times New Roman" w:hAnsi="Times New Roman"/>
          <w:bCs/>
          <w:color w:val="auto"/>
          <w:szCs w:val="21"/>
          <w:highlight w:val="none"/>
        </w:rPr>
      </w:pPr>
      <w:r>
        <w:rPr>
          <w:rFonts w:ascii="Times New Roman" w:hAnsi="Times New Roman" w:eastAsia="黑体"/>
          <w:bCs/>
          <w:color w:val="auto"/>
          <w:szCs w:val="21"/>
          <w:highlight w:val="none"/>
        </w:rPr>
        <w:t>企业执行会计准则情况</w:t>
      </w:r>
      <w:r>
        <w:rPr>
          <w:rFonts w:hint="eastAsia" w:ascii="Times New Roman" w:hAnsi="Times New Roman"/>
          <w:bCs/>
          <w:color w:val="auto"/>
          <w:szCs w:val="21"/>
          <w:highlight w:val="none"/>
        </w:rPr>
        <w:t>执行企业会计准则制度的法人单位按相应分类填写代码，具体的分类及代码是：</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1.执行《企业会计准则》（《企业会计准则--基本准则》见财政部第76号令，各项具体准则、准则解释等见财政部有关财会字文件）；</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2.执行《小企业会计准则》（见财政部财会〔2011〕17号文）；</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3.执行《企业会计制度》（见财政部财会〔2000〕25号文）。</w:t>
      </w:r>
    </w:p>
    <w:p>
      <w:pPr>
        <w:spacing w:line="400" w:lineRule="exact"/>
        <w:ind w:firstLine="420" w:firstLineChars="200"/>
        <w:rPr>
          <w:rFonts w:hint="eastAsia" w:ascii="Times New Roman" w:hAnsi="Times New Roman" w:eastAsia="宋体"/>
          <w:bCs/>
          <w:color w:val="auto"/>
          <w:szCs w:val="21"/>
          <w:highlight w:val="none"/>
          <w:lang w:eastAsia="zh-CN"/>
        </w:rPr>
      </w:pPr>
      <w:r>
        <w:rPr>
          <w:rFonts w:ascii="Times New Roman" w:hAnsi="Times New Roman" w:eastAsia="黑体"/>
          <w:bCs/>
          <w:color w:val="auto"/>
          <w:szCs w:val="21"/>
          <w:highlight w:val="none"/>
        </w:rPr>
        <w:t>登记注册</w:t>
      </w:r>
      <w:r>
        <w:rPr>
          <w:rFonts w:hint="eastAsia" w:ascii="Times New Roman" w:hAnsi="Times New Roman" w:eastAsia="黑体"/>
          <w:bCs/>
          <w:color w:val="auto"/>
          <w:szCs w:val="21"/>
          <w:highlight w:val="none"/>
          <w:lang w:eastAsia="zh-CN"/>
        </w:rPr>
        <w:t>统计类别</w:t>
      </w:r>
      <w:r>
        <w:rPr>
          <w:rFonts w:hint="default" w:ascii="Times New Roman" w:hAnsi="Times New Roman"/>
          <w:bCs/>
          <w:color w:val="auto"/>
          <w:szCs w:val="21"/>
          <w:highlight w:val="none"/>
        </w:rPr>
        <w:t>企业单位的登记注册统计类别，依据《关于市场主体统计分类的划分规定》填写。机关、事业单位和社会团体及其他组织的登记注册统计类别，依据主要经费来源和管理方式，根据实际情况，比照《关于市场主体统计分类的划分规定》确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（1）企业参照《营业执照》中的“类型”“公司类型”“合伙企业类型”“经营范围及方式”等填写，无法直接根据登记事项填写的，需根据投资人情况填写。</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登记注册为“有限责任公司（国有独资）”“有限责任公司分公司（国有独资）”，选填“111国有独资公司”。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自然人投资或控股）”“有限责任公司（自然人独资）”“有限责任公司（自然人投资或控股的法人独资）”“有限责任公司分公司（自然人投资或控股）”“有限责任公司分公司（自然人独资）”“有限责任公司分公司（自然人投资或控股的法人独资）”，选填“112私营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外商投资企业投资）”“有限责任公司（国有控股）”“有限责任公司（非自然人投资或控股的法人独资）”“其他有限责任公司”“有限责任公司分公司（外商投资企业投资）”“有限责任分公司（国有控股）”“有限责任分公司（非自然人投资或控股的法人独资）”“其他有限责任公司分公司”，选填“119其他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上市、自然人投资或控股）”“股份有限公司（非上市、自然人投资或控股）”“股份有限公司分公司（上市、自然人投资或控股）”“股份有限公司分公司（非上市、自然人投资或控股）”，选填“121私营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上市、外商投资企业投资）”“股份有限公司（上市、国有控股）”“其他股份有限公司（上市）”“股份有限公司（非上市、外商投资企业投资）”“股份有限公司（非上市、国有控股）”“其他股份有限公司（非上市）”“股份有限公司分公司（上市、外商投资企业投资）”“股份有限公司分公司（上市、国有控股）”“其他股份有限公司分公司（上市）”“股份有限公司分公司（非上市、外商投资企业投资）”“股份有限公司分公司（非上市、国有控股）”“其他股份有限公司分公司（非上市）”，选填“129其他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登记注册为“全民所有制”“国有事业单位营业”“国有社团法人营业”“全民所有制分支机构（非法人）”“国有经营单位（非法人）”，选填“131全民所有制企业（国有企业）”。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登记注册为“集体所有制”“集体事业单位营业”“集体社团法人营业”“集体分支机构（非法人）”“集体经营单位（非法人）”，选填“132集体所有制企业（集体企业）”。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登记注册为“股份合作制”“股份合作制分支机构”，选填“133股份合作企业”。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登记注册为“联营”，选填“134联营企业”。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登记注册为“个人独资企业”“个人独资企业分支机构”，选填“140个人独资企业”。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登记注册为“股份制”“股份制分支机构”“股份制企业（非法人）”，选填“190其他内资企业”。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210港澳台投资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中外合资、未上市)”“股份有限公司(中外合资、上市)”“股份有限公司(外商合资、未上市)”“股份有限公司(外商合资、上市)”“股份有限公司(外商投资、未上市)”“股份有限公司(外商投资、上市)”，选填“220港澳台投资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登记注册为“非公司港、澳、台企业(港澳台与境内合作)”“非公司港、澳、台企业(港澳台与境内合作)”“非公司港、澳、台投资企业分支机构”，选填“290其他港澳台投资企业”。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310外商投资有限责任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中外合资、未上市)”“股份有限公司(中外合资、上市)”“股份有限公司(外商合资、未上市)”“股份有限公司(外商合资、上市)”“股份有限公司(外商投资、未上市)”“股份有限公司(外商投资、上市)”“外国(地区)股份有限责任公司分支机构”，选填“320外商投资股份有限公司”。</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非公司外商投资企业(中外合作)”“非公司外商投资企业(外商合资)”“非公司外商投资企业分支机构”“外国(地区)无限责任公司分支机构”“外国(地区)其他形式公司分支机构”“外国(地区)企业常驻代表机构”“”，选填“390其他外商投资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（2）机关、事业单位、机构编制部门管理的群众团体，应选填“131全民所有制企业（国有企业）”；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（3）登记注册为“农民专业合作社”“农民专业合作社分支机构”，选填“400农民专业合作社（联合社）”。</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（4）农村集体经济组织、社区（居委会）、村委会应选填“132集体所有制企业（集体企业）”；</w:t>
      </w:r>
    </w:p>
    <w:p>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5）其他非企业单位根据主要经费来源和管理方式填写。国家负担经费或管理的，应选填“131全民所有制企业（国有企业）”；集体负担经费或管理的，应选填“132集体所有制企业（集体企业）”；个人负担经费或管理的，应选填“140个人独资企业”；合伙负担经费或管理的，应选填“150合伙企业”；无法识别经费来源或管理方的，应选填“900其他市场主体”。</w:t>
      </w:r>
    </w:p>
    <w:p>
      <w:pPr>
        <w:snapToGrid/>
        <w:spacing w:line="400" w:lineRule="exact"/>
        <w:ind w:firstLine="420" w:firstLineChars="200"/>
        <w:rPr>
          <w:rFonts w:ascii="Times New Roman" w:hAnsi="Times New Roman"/>
          <w:bCs/>
          <w:color w:val="auto"/>
          <w:szCs w:val="21"/>
          <w:highlight w:val="none"/>
        </w:rPr>
      </w:pPr>
      <w:r>
        <w:rPr>
          <w:rFonts w:hint="eastAsia" w:ascii="宋体" w:hAnsi="宋体" w:eastAsia="宋体"/>
          <w:bCs/>
          <w:color w:val="auto"/>
          <w:szCs w:val="21"/>
          <w:highlight w:val="none"/>
        </w:rPr>
        <w:t>（6）如单位登记注册统计类别改变，但未重新办理变更登记，应按原登记注册统计类别填写。</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主要外资来源国或地区</w:t>
      </w:r>
      <w:r>
        <w:rPr>
          <w:rFonts w:hint="eastAsia" w:ascii="Times New Roman" w:hAnsi="Times New Roman" w:eastAsia="黑体"/>
          <w:bCs/>
          <w:color w:val="auto"/>
          <w:szCs w:val="21"/>
          <w:highlight w:val="none"/>
          <w:lang w:eastAsia="zh-CN"/>
        </w:rPr>
        <w:t>的</w:t>
      </w:r>
      <w:r>
        <w:rPr>
          <w:rFonts w:ascii="Times New Roman" w:hAnsi="Times New Roman" w:eastAsia="黑体"/>
          <w:bCs/>
          <w:color w:val="auto"/>
          <w:szCs w:val="21"/>
          <w:highlight w:val="none"/>
        </w:rPr>
        <w:t>国别（地区）</w:t>
      </w:r>
      <w:r>
        <w:rPr>
          <w:rFonts w:hint="eastAsia" w:ascii="Times New Roman" w:hAnsi="Times New Roman" w:eastAsia="黑体"/>
          <w:bCs/>
          <w:color w:val="auto"/>
          <w:szCs w:val="21"/>
          <w:highlight w:val="none"/>
          <w:lang w:eastAsia="zh-CN"/>
        </w:rPr>
        <w:t>名称</w:t>
      </w:r>
      <w:r>
        <w:rPr>
          <w:rFonts w:ascii="Times New Roman" w:hAnsi="Times New Roman" w:eastAsia="黑体"/>
          <w:bCs/>
          <w:color w:val="auto"/>
          <w:szCs w:val="21"/>
          <w:highlight w:val="none"/>
        </w:rPr>
        <w:t>代码</w:t>
      </w:r>
      <w:r>
        <w:rPr>
          <w:rFonts w:ascii="Times New Roman" w:hAnsi="Times New Roman"/>
          <w:bCs/>
          <w:color w:val="auto"/>
          <w:szCs w:val="21"/>
          <w:highlight w:val="none"/>
        </w:rPr>
        <w:t>限企业登记注册类型为港澳台商投资和外商投资的企业填报。按照国家统计局2004年颁布的《国别</w:t>
      </w:r>
      <w:r>
        <w:rPr>
          <w:rFonts w:ascii="宋体" w:hAnsi="宋体"/>
          <w:bCs/>
          <w:color w:val="auto"/>
          <w:szCs w:val="21"/>
          <w:highlight w:val="none"/>
        </w:rPr>
        <w:t>(</w:t>
      </w:r>
      <w:r>
        <w:rPr>
          <w:rFonts w:ascii="Times New Roman" w:hAnsi="Times New Roman"/>
          <w:bCs/>
          <w:color w:val="auto"/>
          <w:szCs w:val="21"/>
          <w:highlight w:val="none"/>
        </w:rPr>
        <w:t>地区</w:t>
      </w:r>
      <w:r>
        <w:rPr>
          <w:rFonts w:ascii="宋体" w:hAnsi="宋体" w:eastAsia="宋体"/>
          <w:bCs/>
          <w:color w:val="auto"/>
          <w:szCs w:val="21"/>
          <w:highlight w:val="none"/>
        </w:rPr>
        <w:t>)</w:t>
      </w:r>
      <w:r>
        <w:rPr>
          <w:rFonts w:ascii="Times New Roman" w:hAnsi="Times New Roman"/>
          <w:bCs/>
          <w:color w:val="auto"/>
          <w:szCs w:val="21"/>
          <w:highlight w:val="none"/>
        </w:rPr>
        <w:t>统计代码表》填写主要外资来源国或地区的国别（地区）代码。</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企业控股情况</w:t>
      </w:r>
      <w:r>
        <w:rPr>
          <w:rFonts w:hint="eastAsia" w:ascii="Times New Roman" w:hAnsi="Times New Roman"/>
          <w:bCs/>
          <w:color w:val="auto"/>
          <w:szCs w:val="21"/>
          <w:highlight w:val="none"/>
        </w:rPr>
        <w:t>根据企业实收资本中某种经济成分的出资人的实际投资情况，或出资人对企业资产的实际控制、支配程度进行分类。具体分为国有控股、集体控股、私人控股、港澳台商控股、外商控股和其他六类。</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6.其他：除上述五类以外的企业控股情况。</w:t>
      </w:r>
    </w:p>
    <w:p>
      <w:pPr>
        <w:snapToGrid w:val="0"/>
        <w:spacing w:line="400" w:lineRule="exact"/>
        <w:ind w:firstLine="420" w:firstLineChars="0"/>
        <w:rPr>
          <w:rFonts w:ascii="Times New Roman" w:hAnsi="Times New Roman"/>
          <w:bCs/>
          <w:color w:val="auto"/>
          <w:szCs w:val="21"/>
          <w:highlight w:val="none"/>
        </w:rPr>
      </w:pPr>
      <w:r>
        <w:rPr>
          <w:rFonts w:hint="default" w:ascii="Times New Roman" w:hAnsi="Times New Roman" w:eastAsia="黑体"/>
          <w:bCs/>
          <w:color w:val="auto"/>
          <w:szCs w:val="21"/>
          <w:highlight w:val="none"/>
        </w:rPr>
        <w:t>港澳台商投资情况</w:t>
      </w:r>
      <w:r>
        <w:rPr>
          <w:rFonts w:hint="default" w:ascii="Times New Roman" w:hAnsi="Times New Roman" w:eastAsia="宋体" w:cs="Times New Roman"/>
          <w:bCs/>
          <w:color w:val="auto"/>
          <w:szCs w:val="21"/>
          <w:highlight w:val="none"/>
        </w:rPr>
        <w:t>港商投</w:t>
      </w:r>
      <w:r>
        <w:rPr>
          <w:rFonts w:hint="default" w:ascii="Times New Roman" w:hAnsi="Times New Roman"/>
          <w:bCs/>
          <w:color w:val="auto"/>
          <w:szCs w:val="21"/>
          <w:highlight w:val="none"/>
        </w:rPr>
        <w:t>资、澳商投资和台商投资分别指香港特别行政区、澳门特别行政区和台湾地区投资者依照相关法律规定在中国内地进行各种直接投资的形式。限全部港澳台投资企业填写。暂未投资，是指单位在市场监管部门登记注册的类型是港澳台商投资单位，但是尚未有港、澳、台商的资金投入。</w:t>
      </w:r>
    </w:p>
    <w:p>
      <w:pPr>
        <w:keepNext w:val="0"/>
        <w:keepLines w:val="0"/>
        <w:widowControl/>
        <w:suppressLineNumbers w:val="0"/>
        <w:snapToGrid w:val="0"/>
        <w:spacing w:line="400" w:lineRule="exact"/>
        <w:ind w:firstLine="420" w:firstLineChars="200"/>
        <w:jc w:val="left"/>
        <w:rPr>
          <w:rFonts w:hint="eastAsia" w:ascii="Times New Roman" w:hAnsi="Times New Roman" w:eastAsia="宋体" w:cs="Times New Roman"/>
          <w:bCs/>
          <w:color w:val="auto"/>
          <w:szCs w:val="21"/>
          <w:highlight w:val="none"/>
        </w:rPr>
      </w:pPr>
      <w:r>
        <w:rPr>
          <w:rFonts w:hint="default" w:ascii="Times New Roman" w:hAnsi="Times New Roman" w:eastAsia="黑体" w:cs="Times New Roman"/>
          <w:bCs/>
          <w:i w:val="0"/>
          <w:iCs w:val="0"/>
          <w:caps w:val="0"/>
          <w:color w:val="auto"/>
          <w:spacing w:val="0"/>
          <w:sz w:val="21"/>
          <w:szCs w:val="21"/>
          <w:highlight w:val="none"/>
          <w:shd w:val="clear" w:color="auto" w:fill="auto"/>
          <w:lang w:eastAsia="zh-CN"/>
        </w:rPr>
        <w:t>用地</w:t>
      </w:r>
      <w:r>
        <w:rPr>
          <w:rFonts w:hint="eastAsia" w:ascii="Times New Roman" w:hAnsi="Times New Roman" w:eastAsia="黑体" w:cs="Times New Roman"/>
          <w:bCs/>
          <w:i w:val="0"/>
          <w:iCs w:val="0"/>
          <w:caps w:val="0"/>
          <w:color w:val="auto"/>
          <w:spacing w:val="0"/>
          <w:sz w:val="21"/>
          <w:szCs w:val="21"/>
          <w:highlight w:val="none"/>
          <w:shd w:val="clear" w:color="auto" w:fill="auto"/>
        </w:rPr>
        <w:t>面积</w:t>
      </w:r>
      <w:r>
        <w:rPr>
          <w:rFonts w:hint="eastAsia" w:ascii="Times New Roman" w:hAnsi="Times New Roman" w:eastAsia="宋体" w:cs="Times New Roman"/>
          <w:bCs/>
          <w:i w:val="0"/>
          <w:iCs w:val="0"/>
          <w:caps w:val="0"/>
          <w:color w:val="auto"/>
          <w:spacing w:val="0"/>
          <w:sz w:val="21"/>
          <w:szCs w:val="21"/>
          <w:highlight w:val="none"/>
          <w:shd w:val="clear" w:color="auto" w:fill="auto"/>
        </w:rPr>
        <w:t>指企业自有或租赁使用的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w:t>
      </w:r>
      <w:r>
        <w:rPr>
          <w:rFonts w:hint="eastAsia" w:ascii="Times New Roman" w:hAnsi="Times New Roman" w:eastAsia="宋体" w:cs="Times New Roman"/>
          <w:bCs/>
          <w:color w:val="auto"/>
          <w:kern w:val="2"/>
          <w:sz w:val="21"/>
          <w:szCs w:val="21"/>
          <w:highlight w:val="none"/>
          <w:lang w:val="en-US" w:eastAsia="zh-CN" w:bidi="ar"/>
        </w:rPr>
        <w:t>经土地和规划许可并经红线圈定的可用于房屋建筑以及各类配套、道路、绿化等在内的全部建设用地面积。</w:t>
      </w:r>
      <w:r>
        <w:rPr>
          <w:rFonts w:hint="eastAsia" w:ascii="Times New Roman" w:hAnsi="Times New Roman" w:eastAsia="宋体" w:cs="Times New Roman"/>
          <w:bCs/>
          <w:i w:val="0"/>
          <w:iCs w:val="0"/>
          <w:caps w:val="0"/>
          <w:color w:val="auto"/>
          <w:spacing w:val="0"/>
          <w:sz w:val="21"/>
          <w:szCs w:val="21"/>
          <w:highlight w:val="none"/>
          <w:shd w:val="clear" w:color="auto" w:fill="auto"/>
        </w:rPr>
        <w:t>按照实际占用原则计算。具体包括已建成、在建和待建的生产性、辅助生产性和非生产性配套设施以及企业经营、管理和服务部门的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用</w:t>
      </w:r>
      <w:r>
        <w:rPr>
          <w:rFonts w:hint="eastAsia" w:ascii="Times New Roman" w:hAnsi="Times New Roman" w:eastAsia="宋体" w:cs="Times New Roman"/>
          <w:bCs/>
          <w:i w:val="0"/>
          <w:iCs w:val="0"/>
          <w:caps w:val="0"/>
          <w:color w:val="auto"/>
          <w:spacing w:val="0"/>
          <w:sz w:val="21"/>
          <w:szCs w:val="21"/>
          <w:highlight w:val="none"/>
          <w:shd w:val="clear" w:color="auto" w:fill="auto"/>
        </w:rPr>
        <w:t>地面积；未办理国有建筑用地使用权证的，或没有国有建设用地使用权出让合同或划拨决定书，但企业实际占用的面积。</w:t>
      </w:r>
    </w:p>
    <w:p>
      <w:pPr>
        <w:snapToGrid w:val="0"/>
        <w:spacing w:line="400" w:lineRule="exact"/>
        <w:ind w:firstLine="420" w:firstLineChars="200"/>
        <w:rPr>
          <w:rFonts w:ascii="Times New Roman" w:hAnsi="Times New Roman"/>
          <w:bCs/>
          <w:color w:val="auto"/>
          <w:szCs w:val="21"/>
          <w:highlight w:val="none"/>
        </w:rPr>
      </w:pPr>
      <w:r>
        <w:rPr>
          <w:rFonts w:hint="default" w:ascii="Times New Roman" w:hAnsi="Times New Roman" w:eastAsia="黑体"/>
          <w:bCs/>
          <w:color w:val="auto"/>
          <w:szCs w:val="21"/>
          <w:highlight w:val="none"/>
        </w:rPr>
        <w:t>建筑面积</w:t>
      </w:r>
      <w:r>
        <w:rPr>
          <w:rFonts w:hint="eastAsia" w:ascii="Times New Roman" w:hAnsi="Times New Roman" w:eastAsia="宋体" w:cs="Times New Roman"/>
          <w:bCs/>
          <w:i w:val="0"/>
          <w:iCs w:val="0"/>
          <w:caps w:val="0"/>
          <w:color w:val="auto"/>
          <w:spacing w:val="0"/>
          <w:sz w:val="21"/>
          <w:szCs w:val="21"/>
          <w:highlight w:val="none"/>
          <w:shd w:val="clear" w:color="auto" w:fill="auto"/>
        </w:rPr>
        <w:t>指企业自有或租赁使用的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w:t>
      </w:r>
      <w:r>
        <w:rPr>
          <w:rFonts w:hint="default" w:ascii="Times New Roman" w:hAnsi="Times New Roman" w:eastAsia="宋体"/>
          <w:bCs/>
          <w:color w:val="auto"/>
          <w:szCs w:val="21"/>
          <w:highlight w:val="none"/>
        </w:rPr>
        <w:t>已建成的建筑外墙外围线测定的各层平面面积之和。</w:t>
      </w:r>
      <w:r>
        <w:rPr>
          <w:rFonts w:hint="eastAsia" w:ascii="Times New Roman" w:hAnsi="Times New Roman" w:eastAsia="宋体"/>
          <w:bCs/>
          <w:color w:val="auto"/>
          <w:szCs w:val="21"/>
          <w:highlight w:val="none"/>
          <w:lang w:eastAsia="zh-CN"/>
        </w:rPr>
        <w:t>不包括自有但已出租的面积。</w:t>
      </w:r>
    </w:p>
    <w:p>
      <w:pPr>
        <w:snapToGrid w:val="0"/>
        <w:spacing w:line="400" w:lineRule="exact"/>
        <w:ind w:firstLine="420" w:firstLineChars="200"/>
        <w:rPr>
          <w:rFonts w:hint="default" w:ascii="Times New Roman" w:hAnsi="Times New Roman"/>
          <w:bCs/>
          <w:color w:val="auto"/>
          <w:szCs w:val="21"/>
          <w:highlight w:val="none"/>
        </w:rPr>
      </w:pPr>
      <w:r>
        <w:rPr>
          <w:rFonts w:hint="eastAsia" w:ascii="Times New Roman" w:hAnsi="Times New Roman" w:eastAsia="黑体"/>
          <w:bCs/>
          <w:color w:val="auto"/>
          <w:szCs w:val="21"/>
          <w:highlight w:val="none"/>
          <w:lang w:eastAsia="zh-CN"/>
        </w:rPr>
        <w:t>用于</w:t>
      </w:r>
      <w:r>
        <w:rPr>
          <w:rFonts w:hint="default" w:ascii="Times New Roman" w:hAnsi="Times New Roman" w:eastAsia="黑体"/>
          <w:bCs/>
          <w:color w:val="auto"/>
          <w:szCs w:val="21"/>
          <w:highlight w:val="none"/>
        </w:rPr>
        <w:t>生产</w:t>
      </w:r>
      <w:r>
        <w:rPr>
          <w:rFonts w:hint="eastAsia" w:ascii="Times New Roman" w:hAnsi="Times New Roman" w:eastAsia="黑体"/>
          <w:bCs/>
          <w:color w:val="auto"/>
          <w:szCs w:val="21"/>
          <w:highlight w:val="none"/>
          <w:lang w:eastAsia="zh-CN"/>
        </w:rPr>
        <w:t>的建筑面积</w:t>
      </w:r>
      <w:r>
        <w:rPr>
          <w:rFonts w:hint="default" w:ascii="Times New Roman" w:hAnsi="Times New Roman"/>
          <w:bCs/>
          <w:color w:val="auto"/>
          <w:szCs w:val="21"/>
          <w:highlight w:val="none"/>
        </w:rPr>
        <w:t>指企业</w:t>
      </w:r>
      <w:r>
        <w:rPr>
          <w:rFonts w:hint="eastAsia" w:ascii="Times New Roman" w:hAnsi="Times New Roman"/>
          <w:bCs/>
          <w:color w:val="auto"/>
          <w:szCs w:val="21"/>
          <w:highlight w:val="none"/>
          <w:lang w:eastAsia="zh-CN"/>
        </w:rPr>
        <w:t>用于</w:t>
      </w:r>
      <w:r>
        <w:rPr>
          <w:rFonts w:hint="eastAsia" w:ascii="Times New Roman" w:hAnsi="Times New Roman" w:eastAsia="宋体" w:cs="Times New Roman"/>
          <w:bCs/>
          <w:i w:val="0"/>
          <w:iCs w:val="0"/>
          <w:caps w:val="0"/>
          <w:color w:val="auto"/>
          <w:spacing w:val="0"/>
          <w:sz w:val="21"/>
          <w:szCs w:val="21"/>
          <w:highlight w:val="none"/>
          <w:shd w:val="clear" w:color="auto" w:fill="auto"/>
        </w:rPr>
        <w:t>生产</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或</w:t>
      </w:r>
      <w:r>
        <w:rPr>
          <w:rFonts w:hint="eastAsia" w:ascii="Times New Roman" w:hAnsi="Times New Roman" w:eastAsia="宋体" w:cs="Times New Roman"/>
          <w:bCs/>
          <w:i w:val="0"/>
          <w:iCs w:val="0"/>
          <w:caps w:val="0"/>
          <w:color w:val="auto"/>
          <w:spacing w:val="0"/>
          <w:sz w:val="21"/>
          <w:szCs w:val="21"/>
          <w:highlight w:val="none"/>
          <w:shd w:val="clear" w:color="auto" w:fill="auto"/>
        </w:rPr>
        <w:t>辅助</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性</w:t>
      </w:r>
      <w:r>
        <w:rPr>
          <w:rFonts w:hint="eastAsia" w:ascii="Times New Roman" w:hAnsi="Times New Roman" w:eastAsia="宋体" w:cs="Times New Roman"/>
          <w:bCs/>
          <w:i w:val="0"/>
          <w:iCs w:val="0"/>
          <w:caps w:val="0"/>
          <w:color w:val="auto"/>
          <w:spacing w:val="0"/>
          <w:sz w:val="21"/>
          <w:szCs w:val="21"/>
          <w:highlight w:val="none"/>
          <w:shd w:val="clear" w:color="auto" w:fill="auto"/>
        </w:rPr>
        <w:t>生产</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的</w:t>
      </w:r>
      <w:r>
        <w:rPr>
          <w:rFonts w:hint="eastAsia" w:ascii="Times New Roman" w:hAnsi="Times New Roman"/>
          <w:bCs/>
          <w:color w:val="auto"/>
          <w:szCs w:val="21"/>
          <w:highlight w:val="none"/>
          <w:lang w:eastAsia="zh-CN"/>
        </w:rPr>
        <w:t>建筑面积</w:t>
      </w:r>
      <w:r>
        <w:rPr>
          <w:rFonts w:hint="default" w:ascii="Times New Roman" w:hAnsi="Times New Roman"/>
          <w:bCs/>
          <w:color w:val="auto"/>
          <w:szCs w:val="21"/>
          <w:highlight w:val="none"/>
        </w:rPr>
        <w:t>。</w:t>
      </w:r>
    </w:p>
    <w:p>
      <w:pPr>
        <w:snapToGrid w:val="0"/>
        <w:spacing w:line="400" w:lineRule="exact"/>
        <w:ind w:firstLine="420" w:firstLineChars="200"/>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 w:val="21"/>
          <w:szCs w:val="21"/>
          <w:highlight w:val="none"/>
          <w:lang w:eastAsia="zh-CN"/>
        </w:rPr>
        <w:t>用于研发的建筑面积</w:t>
      </w:r>
      <w:r>
        <w:rPr>
          <w:rFonts w:hint="default" w:ascii="Times New Roman" w:hAnsi="Times New Roman"/>
          <w:bCs/>
          <w:color w:val="auto"/>
          <w:szCs w:val="21"/>
          <w:highlight w:val="none"/>
        </w:rPr>
        <w:t>指企业</w:t>
      </w:r>
      <w:r>
        <w:rPr>
          <w:rFonts w:hint="eastAsia" w:ascii="Times New Roman" w:hAnsi="Times New Roman"/>
          <w:bCs/>
          <w:color w:val="auto"/>
          <w:szCs w:val="21"/>
          <w:highlight w:val="none"/>
          <w:lang w:eastAsia="zh-CN"/>
        </w:rPr>
        <w:t>用于研究开发</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的</w:t>
      </w:r>
      <w:r>
        <w:rPr>
          <w:rFonts w:hint="eastAsia" w:ascii="Times New Roman" w:hAnsi="Times New Roman"/>
          <w:bCs/>
          <w:color w:val="auto"/>
          <w:szCs w:val="21"/>
          <w:highlight w:val="none"/>
          <w:lang w:eastAsia="zh-CN"/>
        </w:rPr>
        <w:t>建筑面积</w:t>
      </w:r>
      <w:r>
        <w:rPr>
          <w:rFonts w:hint="default" w:ascii="Times New Roman" w:hAnsi="Times New Roman"/>
          <w:bCs/>
          <w:color w:val="auto"/>
          <w:szCs w:val="21"/>
          <w:highlight w:val="none"/>
        </w:rPr>
        <w:t>。</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企业集团情况</w:t>
      </w:r>
      <w:r>
        <w:rPr>
          <w:rFonts w:hint="eastAsia" w:ascii="Times New Roman" w:hAnsi="Times New Roman"/>
          <w:bCs/>
          <w:color w:val="auto"/>
          <w:szCs w:val="21"/>
          <w:highlight w:val="none"/>
        </w:rPr>
        <w:t>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科技企业孵化器</w:t>
      </w:r>
      <w:r>
        <w:rPr>
          <w:rFonts w:ascii="Times New Roman" w:hAnsi="Times New Roman"/>
          <w:bCs/>
          <w:color w:val="auto"/>
          <w:highlight w:val="none"/>
        </w:rPr>
        <w:t>指以科技型创业企业为服务对象，以促进科技成果转化、培养高新技术企业和企业家为宗旨的科技创业服务载体。</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在孵企业</w:t>
      </w:r>
      <w:r>
        <w:rPr>
          <w:rFonts w:ascii="Times New Roman" w:hAnsi="Times New Roman"/>
          <w:bCs/>
          <w:color w:val="auto"/>
          <w:szCs w:val="21"/>
          <w:highlight w:val="none"/>
        </w:rPr>
        <w:t>指目前仍在孵化器内入驻，得到孵化器提供的服务的初创型企业。</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毕业企业</w:t>
      </w:r>
      <w:r>
        <w:rPr>
          <w:rFonts w:ascii="Times New Roman" w:hAnsi="Times New Roman"/>
          <w:bCs/>
          <w:color w:val="auto"/>
          <w:szCs w:val="21"/>
          <w:highlight w:val="none"/>
        </w:rPr>
        <w:t>指曾在孵化器入驻并得到孵化器服务，符合所在孵化器毕业企业条件，现已迁出孵化器的企业。</w:t>
      </w:r>
    </w:p>
    <w:p>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与孵化器无关</w:t>
      </w:r>
      <w:r>
        <w:rPr>
          <w:rFonts w:ascii="Times New Roman" w:hAnsi="Times New Roman"/>
          <w:bCs/>
          <w:color w:val="auto"/>
          <w:szCs w:val="21"/>
          <w:highlight w:val="none"/>
        </w:rPr>
        <w:t>指企业从未入驻过孵化器。</w:t>
      </w:r>
    </w:p>
    <w:p>
      <w:pPr>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境外上市情况</w:t>
      </w:r>
      <w:r>
        <w:rPr>
          <w:rFonts w:ascii="Times New Roman" w:hAnsi="Times New Roman"/>
          <w:bCs/>
          <w:color w:val="auto"/>
          <w:highlight w:val="none"/>
        </w:rPr>
        <w:t>仅限非在中国大陆上市的企业填报其上市地点、时间及统计年度年末市值等情况。</w:t>
      </w:r>
    </w:p>
    <w:p>
      <w:pPr>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企业所属技术领域</w:t>
      </w:r>
      <w:r>
        <w:rPr>
          <w:rFonts w:ascii="Times New Roman" w:hAnsi="Times New Roman"/>
          <w:bCs/>
          <w:color w:val="auto"/>
          <w:szCs w:val="21"/>
          <w:highlight w:val="none"/>
        </w:rPr>
        <w:t>此项指标是为了了解企业所属领域情况，技术领域共分11大类54小类，请根据企业实际情况，以企业主营产品中最主要的产品为主，按技术领域的小类代码填报。</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企业核心技术所属国家重点支持的高新技术领域</w:t>
      </w:r>
      <w:r>
        <w:rPr>
          <w:rFonts w:ascii="Times New Roman" w:hAnsi="Times New Roman"/>
          <w:bCs/>
          <w:color w:val="auto"/>
          <w:szCs w:val="21"/>
          <w:highlight w:val="none"/>
        </w:rPr>
        <w:t>指对企业主要产品（服务）发挥核心支持作用的技术所属《国家重点支持的高新技术领域》范围（参见附录）。按照《高新技术企业认定管理办法》（国科发火〔2016〕32号）中规定的8个重点领域中选择3级技术领域所对应的6位代码填报。高新技术企业根据高新技术企业认定时确定的领域填报，非高新技术企业根据企业核心技术情况选择对应项填报。无核心技术企业填报000000。</w:t>
      </w:r>
    </w:p>
    <w:p>
      <w:pPr>
        <w:spacing w:line="400" w:lineRule="exact"/>
        <w:ind w:firstLine="420" w:firstLineChars="200"/>
        <w:rPr>
          <w:rFonts w:hint="default" w:ascii="Times New Roman" w:hAnsi="Times New Roman"/>
          <w:b w:val="0"/>
          <w:bCs/>
          <w:color w:val="auto"/>
          <w:kern w:val="2"/>
          <w:sz w:val="21"/>
          <w:szCs w:val="21"/>
          <w:highlight w:val="none"/>
        </w:rPr>
      </w:pPr>
      <w:r>
        <w:rPr>
          <w:rFonts w:ascii="Times New Roman" w:hAnsi="Times New Roman" w:eastAsia="黑体"/>
          <w:b w:val="0"/>
          <w:color w:val="auto"/>
          <w:kern w:val="2"/>
          <w:sz w:val="21"/>
          <w:szCs w:val="21"/>
          <w:highlight w:val="none"/>
        </w:rPr>
        <w:t>企业所属</w:t>
      </w:r>
      <w:r>
        <w:rPr>
          <w:rFonts w:hint="eastAsia" w:ascii="Times New Roman" w:hAnsi="Times New Roman" w:eastAsia="黑体"/>
          <w:b w:val="0"/>
          <w:color w:val="auto"/>
          <w:kern w:val="2"/>
          <w:sz w:val="21"/>
          <w:szCs w:val="21"/>
          <w:highlight w:val="none"/>
        </w:rPr>
        <w:t>战略性新兴产业领域</w:t>
      </w:r>
      <w:r>
        <w:rPr>
          <w:rFonts w:hint="eastAsia" w:ascii="Times New Roman" w:hAnsi="Times New Roman" w:eastAsia="宋体" w:cs="Times New Roman"/>
          <w:b w:val="0"/>
          <w:color w:val="auto"/>
          <w:kern w:val="2"/>
          <w:sz w:val="21"/>
          <w:szCs w:val="21"/>
          <w:highlight w:val="none"/>
        </w:rPr>
        <w:t>指按国</w:t>
      </w:r>
      <w:r>
        <w:rPr>
          <w:rFonts w:hint="eastAsia" w:ascii="Times New Roman" w:hAnsi="Times New Roman"/>
          <w:b w:val="0"/>
          <w:color w:val="auto"/>
          <w:kern w:val="2"/>
          <w:sz w:val="21"/>
          <w:szCs w:val="21"/>
          <w:highlight w:val="none"/>
        </w:rPr>
        <w:t>家统</w:t>
      </w:r>
      <w:r>
        <w:rPr>
          <w:rFonts w:hint="default" w:ascii="Times New Roman" w:hAnsi="Times New Roman"/>
          <w:b w:val="0"/>
          <w:bCs/>
          <w:color w:val="auto"/>
          <w:kern w:val="2"/>
          <w:sz w:val="21"/>
          <w:szCs w:val="21"/>
          <w:highlight w:val="none"/>
        </w:rPr>
        <w:t>计局</w:t>
      </w:r>
      <w:r>
        <w:rPr>
          <w:rFonts w:ascii="Times New Roman" w:hAnsi="Times New Roman"/>
          <w:b w:val="0"/>
          <w:bCs/>
          <w:color w:val="auto"/>
          <w:kern w:val="2"/>
          <w:sz w:val="21"/>
          <w:szCs w:val="21"/>
          <w:highlight w:val="none"/>
        </w:rPr>
        <w:t>2018</w:t>
      </w:r>
      <w:r>
        <w:rPr>
          <w:rFonts w:hint="default" w:ascii="Times New Roman" w:hAnsi="Times New Roman"/>
          <w:b w:val="0"/>
          <w:bCs/>
          <w:color w:val="auto"/>
          <w:kern w:val="2"/>
          <w:sz w:val="21"/>
          <w:szCs w:val="21"/>
          <w:highlight w:val="none"/>
        </w:rPr>
        <w:t>年公布的《战略性新兴产业分类（</w:t>
      </w:r>
      <w:r>
        <w:rPr>
          <w:rFonts w:ascii="Times New Roman" w:hAnsi="Times New Roman"/>
          <w:b w:val="0"/>
          <w:bCs/>
          <w:color w:val="auto"/>
          <w:kern w:val="2"/>
          <w:sz w:val="21"/>
          <w:szCs w:val="21"/>
          <w:highlight w:val="none"/>
        </w:rPr>
        <w:t>2018</w:t>
      </w:r>
      <w:r>
        <w:rPr>
          <w:rFonts w:hint="default" w:ascii="Times New Roman" w:hAnsi="Times New Roman"/>
          <w:b w:val="0"/>
          <w:bCs/>
          <w:color w:val="auto"/>
          <w:kern w:val="2"/>
          <w:sz w:val="21"/>
          <w:szCs w:val="21"/>
          <w:highlight w:val="none"/>
        </w:rPr>
        <w:t>）》</w:t>
      </w:r>
      <w:r>
        <w:rPr>
          <w:rFonts w:hint="eastAsia" w:ascii="Times New Roman" w:hAnsi="Times New Roman"/>
          <w:b w:val="0"/>
          <w:bCs/>
          <w:color w:val="auto"/>
          <w:kern w:val="2"/>
          <w:sz w:val="21"/>
          <w:szCs w:val="21"/>
          <w:highlight w:val="none"/>
          <w:lang w:eastAsia="zh-CN"/>
        </w:rPr>
        <w:t>和</w:t>
      </w:r>
      <w:r>
        <w:rPr>
          <w:rFonts w:hint="default" w:ascii="Times New Roman" w:hAnsi="Times New Roman"/>
          <w:b w:val="0"/>
          <w:bCs/>
          <w:color w:val="auto"/>
          <w:kern w:val="2"/>
          <w:sz w:val="21"/>
          <w:szCs w:val="21"/>
          <w:highlight w:val="none"/>
        </w:rPr>
        <w:t>国务院第五次全国经济普査领导小组办公室</w:t>
      </w:r>
      <w:r>
        <w:rPr>
          <w:rFonts w:hint="eastAsia" w:ascii="Times New Roman" w:hAnsi="Times New Roman"/>
          <w:b w:val="0"/>
          <w:bCs/>
          <w:color w:val="auto"/>
          <w:kern w:val="2"/>
          <w:sz w:val="21"/>
          <w:szCs w:val="21"/>
          <w:highlight w:val="none"/>
          <w:lang w:val="en-US" w:eastAsia="zh-CN"/>
        </w:rPr>
        <w:t>2023年</w:t>
      </w:r>
      <w:r>
        <w:rPr>
          <w:rFonts w:hint="eastAsia" w:ascii="Times New Roman" w:hAnsi="Times New Roman"/>
          <w:b w:val="0"/>
          <w:bCs/>
          <w:color w:val="auto"/>
          <w:kern w:val="2"/>
          <w:sz w:val="21"/>
          <w:szCs w:val="21"/>
          <w:highlight w:val="none"/>
          <w:lang w:eastAsia="zh-CN"/>
        </w:rPr>
        <w:t>公布的《工业战略性新兴产业分类目录（2023）》</w:t>
      </w:r>
      <w:r>
        <w:rPr>
          <w:rFonts w:hint="default" w:ascii="Times New Roman" w:hAnsi="Times New Roman"/>
          <w:b w:val="0"/>
          <w:bCs/>
          <w:color w:val="auto"/>
          <w:kern w:val="2"/>
          <w:sz w:val="21"/>
          <w:szCs w:val="21"/>
          <w:highlight w:val="none"/>
        </w:rPr>
        <w:t>填写。</w:t>
      </w:r>
    </w:p>
    <w:p>
      <w:pPr>
        <w:spacing w:line="400" w:lineRule="exact"/>
        <w:ind w:firstLine="420" w:firstLineChars="200"/>
        <w:rPr>
          <w:rFonts w:hint="default" w:ascii="Times New Roman" w:hAnsi="Times New Roman"/>
          <w:b w:val="0"/>
          <w:bCs/>
          <w:color w:val="auto"/>
          <w:kern w:val="2"/>
          <w:sz w:val="21"/>
          <w:szCs w:val="21"/>
          <w:highlight w:val="none"/>
        </w:rPr>
      </w:pPr>
      <w:r>
        <w:rPr>
          <w:rFonts w:hint="default" w:ascii="Times New Roman" w:hAnsi="Times New Roman" w:eastAsia="黑体"/>
          <w:color w:val="auto"/>
          <w:szCs w:val="21"/>
          <w:highlight w:val="none"/>
        </w:rPr>
        <w:t>业务系统是否向云端迁移</w:t>
      </w:r>
      <w:r>
        <w:rPr>
          <w:rFonts w:hint="default" w:ascii="Times New Roman" w:hAnsi="Times New Roman"/>
          <w:bCs/>
          <w:color w:val="auto"/>
          <w:szCs w:val="21"/>
          <w:highlight w:val="none"/>
        </w:rPr>
        <w:t>指企业</w:t>
      </w:r>
      <w:r>
        <w:rPr>
          <w:rFonts w:hint="default" w:ascii="Times New Roman" w:hAnsi="Times New Roman"/>
          <w:b w:val="0"/>
          <w:bCs/>
          <w:color w:val="auto"/>
          <w:kern w:val="2"/>
          <w:sz w:val="21"/>
          <w:szCs w:val="21"/>
          <w:highlight w:val="none"/>
        </w:rPr>
        <w:t>是否</w:t>
      </w:r>
      <w:r>
        <w:rPr>
          <w:rFonts w:hint="default" w:ascii="Times New Roman" w:hAnsi="Times New Roman"/>
          <w:bCs/>
          <w:color w:val="auto"/>
          <w:szCs w:val="21"/>
          <w:highlight w:val="none"/>
        </w:rPr>
        <w:t>将原本存储在本地服务器上的业务系统，迁移至云端服务器上进行管理和运行的过程</w:t>
      </w:r>
      <w:r>
        <w:rPr>
          <w:rFonts w:hint="default" w:ascii="Times New Roman" w:hAnsi="Times New Roman"/>
          <w:b w:val="0"/>
          <w:bCs/>
          <w:color w:val="auto"/>
          <w:kern w:val="2"/>
          <w:sz w:val="21"/>
          <w:szCs w:val="21"/>
          <w:highlight w:val="none"/>
        </w:rPr>
        <w:t>。</w:t>
      </w:r>
    </w:p>
    <w:p>
      <w:pPr>
        <w:spacing w:line="400" w:lineRule="exact"/>
        <w:ind w:firstLine="420"/>
        <w:rPr>
          <w:rFonts w:hint="default" w:ascii="Times New Roman" w:hAnsi="Times New Roman" w:eastAsia="黑体"/>
          <w:bCs/>
          <w:color w:val="auto"/>
          <w:szCs w:val="21"/>
          <w:highlight w:val="none"/>
        </w:rPr>
      </w:pPr>
      <w:r>
        <w:rPr>
          <w:rFonts w:hint="default" w:ascii="Times New Roman" w:hAnsi="Times New Roman" w:eastAsia="黑体"/>
          <w:bCs w:val="0"/>
          <w:color w:val="auto"/>
          <w:szCs w:val="21"/>
          <w:highlight w:val="none"/>
        </w:rPr>
        <w:t>实体经济和数字经济融合相关试点、典型案例</w:t>
      </w:r>
      <w:r>
        <w:rPr>
          <w:rFonts w:hint="default" w:ascii="Times New Roman" w:hAnsi="Times New Roman" w:eastAsia="宋体"/>
          <w:bCs/>
          <w:color w:val="auto"/>
          <w:szCs w:val="21"/>
          <w:highlight w:val="none"/>
        </w:rPr>
        <w:t>指经工业和信息化部认定的“数字领航”企业、跨行业跨领域工业互联网平台和制造业数字化转型相关典型案例。</w:t>
      </w:r>
    </w:p>
    <w:p>
      <w:pPr>
        <w:spacing w:line="400" w:lineRule="exact"/>
        <w:ind w:firstLine="42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rPr>
        <w:t>数字化转型</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企业运用数字技术，对业务流程、组织架构、商业模式等进行全方位的重塑和优化，以实现提高效率、创新服务、提升竞争力和创造价值的目标</w:t>
      </w:r>
      <w:r>
        <w:rPr>
          <w:rFonts w:hint="default" w:ascii="Times New Roman" w:hAnsi="Times New Roman" w:eastAsia="宋体"/>
          <w:bCs/>
          <w:color w:val="auto"/>
          <w:szCs w:val="21"/>
          <w:highlight w:val="none"/>
          <w:lang w:eastAsia="zh-CN"/>
        </w:rPr>
        <w:t>，</w:t>
      </w:r>
      <w:r>
        <w:rPr>
          <w:rFonts w:hint="default" w:ascii="Times New Roman" w:hAnsi="Times New Roman" w:eastAsia="宋体" w:cs="Times New Roman"/>
          <w:bCs/>
          <w:color w:val="auto"/>
          <w:szCs w:val="21"/>
          <w:highlight w:val="none"/>
          <w:lang w:val="en-US" w:eastAsia="zh-CN"/>
        </w:rPr>
        <w:t>完成两化融合、制造业数字化转型等国家标准贯标</w:t>
      </w:r>
      <w:r>
        <w:rPr>
          <w:rFonts w:hint="eastAsia" w:ascii="Times New Roman" w:hAnsi="Times New Roman"/>
          <w:bCs/>
          <w:color w:val="auto"/>
          <w:szCs w:val="21"/>
          <w:highlight w:val="none"/>
        </w:rPr>
        <w:t>。</w:t>
      </w:r>
    </w:p>
    <w:p>
      <w:pPr>
        <w:spacing w:line="400" w:lineRule="exact"/>
        <w:ind w:firstLine="420" w:firstLineChars="20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rPr>
        <w:t>工业机器人数量</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工业机器人的保有量，即安装并使用的工业机器人总数。工业机器人是指在工业自动化的使用中，可对三个或三个以上轴进行编程的固定式或移动式，自动控制的、可重复编程、多用途的操作机。</w:t>
      </w:r>
    </w:p>
    <w:p>
      <w:pPr>
        <w:spacing w:line="400" w:lineRule="exact"/>
        <w:ind w:firstLine="42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lang w:eastAsia="zh-CN"/>
        </w:rPr>
        <w:t>研发准备金</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企业为保障研发项目的资金需要，在开展研发活动前或研发过程中提前储备的专门用于研发项目、单独核算的资金。</w:t>
      </w:r>
    </w:p>
    <w:p>
      <w:pPr>
        <w:spacing w:line="400" w:lineRule="exact"/>
        <w:ind w:firstLine="420"/>
        <w:rPr>
          <w:rFonts w:hint="default" w:ascii="Times New Roman" w:hAnsi="Times New Roman" w:eastAsia="宋体"/>
          <w:bCs/>
          <w:color w:val="auto"/>
          <w:szCs w:val="21"/>
          <w:highlight w:val="none"/>
          <w:lang w:eastAsia="zh-CN"/>
        </w:rPr>
      </w:pPr>
      <w:r>
        <w:rPr>
          <w:rFonts w:hint="default" w:ascii="Times New Roman" w:hAnsi="Times New Roman" w:eastAsia="黑体"/>
          <w:bCs w:val="0"/>
          <w:color w:val="auto"/>
          <w:szCs w:val="21"/>
          <w:highlight w:val="none"/>
          <w:lang w:eastAsia="zh-CN"/>
        </w:rPr>
        <w:t>企业通过</w:t>
      </w:r>
      <w:r>
        <w:rPr>
          <w:rFonts w:hint="default" w:ascii="Times New Roman" w:hAnsi="Times New Roman" w:eastAsia="黑体"/>
          <w:bCs w:val="0"/>
          <w:color w:val="auto"/>
          <w:szCs w:val="21"/>
          <w:highlight w:val="none"/>
        </w:rPr>
        <w:t>质量</w:t>
      </w:r>
      <w:r>
        <w:rPr>
          <w:rFonts w:hint="default" w:ascii="Times New Roman" w:hAnsi="Times New Roman" w:eastAsia="黑体"/>
          <w:bCs w:val="0"/>
          <w:color w:val="auto"/>
          <w:szCs w:val="21"/>
          <w:highlight w:val="none"/>
          <w:lang w:eastAsia="zh-CN"/>
        </w:rPr>
        <w:t>管理</w:t>
      </w:r>
      <w:r>
        <w:rPr>
          <w:rFonts w:hint="default" w:ascii="Times New Roman" w:hAnsi="Times New Roman" w:eastAsia="黑体"/>
          <w:bCs w:val="0"/>
          <w:color w:val="auto"/>
          <w:szCs w:val="21"/>
          <w:highlight w:val="none"/>
        </w:rPr>
        <w:t>体系认</w:t>
      </w:r>
      <w:r>
        <w:rPr>
          <w:rFonts w:hint="eastAsia" w:ascii="Times New Roman" w:hAnsi="Times New Roman" w:eastAsia="黑体"/>
          <w:bCs/>
          <w:color w:val="auto"/>
          <w:szCs w:val="21"/>
          <w:highlight w:val="none"/>
          <w:lang w:eastAsia="zh-CN"/>
        </w:rPr>
        <w:t>证</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经取得质量管理体系认证资格的第三方认证机构，依据正式发布的质量管理体系标准对企业的质量管理体系实施评定，评定合格并由第三方机构颁发质量管理体系认证证书并给予注册公布，且证书于报告期年底</w:t>
      </w:r>
      <w:r>
        <w:rPr>
          <w:rFonts w:hint="eastAsia" w:ascii="Times New Roman" w:hAnsi="Times New Roman"/>
          <w:bCs/>
          <w:color w:val="auto"/>
          <w:szCs w:val="21"/>
          <w:highlight w:val="none"/>
          <w:lang w:eastAsia="zh-CN"/>
        </w:rPr>
        <w:t>尚</w:t>
      </w:r>
      <w:r>
        <w:rPr>
          <w:rFonts w:hint="eastAsia" w:ascii="Times New Roman" w:hAnsi="Times New Roman"/>
          <w:bCs/>
          <w:color w:val="auto"/>
          <w:szCs w:val="21"/>
          <w:highlight w:val="none"/>
        </w:rPr>
        <w:t>在有效期内的企业。</w:t>
      </w:r>
    </w:p>
    <w:p>
      <w:pPr>
        <w:pStyle w:val="4"/>
        <w:ind w:firstLine="420" w:firstLineChars="200"/>
        <w:jc w:val="center"/>
        <w:rPr>
          <w:rFonts w:ascii="Times New Roman" w:hAnsi="Times New Roman"/>
          <w:bCs w:val="0"/>
          <w:color w:val="auto"/>
          <w:sz w:val="28"/>
          <w:szCs w:val="28"/>
          <w:highlight w:val="none"/>
        </w:rPr>
      </w:pPr>
      <w:r>
        <w:rPr>
          <w:rFonts w:ascii="Times New Roman" w:hAnsi="Times New Roman"/>
          <w:b w:val="0"/>
          <w:color w:val="auto"/>
          <w:kern w:val="2"/>
          <w:sz w:val="21"/>
          <w:szCs w:val="21"/>
          <w:highlight w:val="none"/>
        </w:rPr>
        <w:br w:type="page"/>
      </w:r>
      <w:bookmarkStart w:id="29" w:name="_Toc121734441"/>
      <w:r>
        <w:rPr>
          <w:rFonts w:ascii="Times New Roman" w:hAnsi="Times New Roman"/>
          <w:bCs w:val="0"/>
          <w:color w:val="auto"/>
          <w:sz w:val="28"/>
          <w:szCs w:val="28"/>
          <w:highlight w:val="none"/>
        </w:rPr>
        <w:t>经济概况</w:t>
      </w:r>
      <w:bookmarkEnd w:id="29"/>
    </w:p>
    <w:tbl>
      <w:tblPr>
        <w:tblStyle w:val="34"/>
        <w:tblW w:w="0" w:type="auto"/>
        <w:jc w:val="center"/>
        <w:tblLayout w:type="fixed"/>
        <w:tblCellMar>
          <w:top w:w="0" w:type="dxa"/>
          <w:left w:w="108" w:type="dxa"/>
          <w:bottom w:w="0" w:type="dxa"/>
          <w:right w:w="108" w:type="dxa"/>
        </w:tblCellMar>
      </w:tblPr>
      <w:tblGrid>
        <w:gridCol w:w="3180"/>
        <w:gridCol w:w="2127"/>
        <w:gridCol w:w="1113"/>
        <w:gridCol w:w="309"/>
        <w:gridCol w:w="756"/>
        <w:gridCol w:w="522"/>
        <w:gridCol w:w="1533"/>
      </w:tblGrid>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Times New Roman" w:hAnsi="Times New Roman"/>
                <w:bCs/>
                <w:color w:val="auto"/>
                <w:sz w:val="18"/>
                <w:szCs w:val="24"/>
                <w:highlight w:val="none"/>
              </w:rPr>
            </w:pPr>
          </w:p>
        </w:tc>
        <w:tc>
          <w:tcPr>
            <w:tcW w:w="1065"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205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ＧＱ－００２</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Times New Roman" w:hAnsi="Times New Roman"/>
                <w:bCs/>
                <w:color w:val="auto"/>
                <w:sz w:val="18"/>
                <w:szCs w:val="24"/>
                <w:highlight w:val="none"/>
              </w:rPr>
            </w:pPr>
          </w:p>
        </w:tc>
        <w:tc>
          <w:tcPr>
            <w:tcW w:w="1065"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2055" w:type="dxa"/>
            <w:gridSpan w:val="2"/>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宋体" w:hAnsi="宋体"/>
                <w:bCs/>
                <w:color w:val="auto"/>
                <w:sz w:val="18"/>
                <w:szCs w:val="24"/>
                <w:highlight w:val="none"/>
              </w:rPr>
            </w:pPr>
          </w:p>
        </w:tc>
        <w:tc>
          <w:tcPr>
            <w:tcW w:w="1065"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205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3" w:hRule="atLeast"/>
          <w:jc w:val="center"/>
        </w:trPr>
        <w:tc>
          <w:tcPr>
            <w:tcW w:w="6420" w:type="dxa"/>
            <w:gridSpan w:val="3"/>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65" w:type="dxa"/>
            <w:gridSpan w:val="2"/>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2055" w:type="dxa"/>
            <w:gridSpan w:val="2"/>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3" w:hRule="atLeast"/>
          <w:jc w:val="center"/>
        </w:trPr>
        <w:tc>
          <w:tcPr>
            <w:tcW w:w="3180"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240" w:type="dxa"/>
            <w:gridSpan w:val="2"/>
            <w:noWrap w:val="0"/>
            <w:vAlign w:val="center"/>
          </w:tcPr>
          <w:p>
            <w:pPr>
              <w:snapToGrid w:val="0"/>
              <w:spacing w:line="240" w:lineRule="exact"/>
              <w:jc w:val="center"/>
              <w:rPr>
                <w:rFonts w:ascii="Times New Roman" w:hAnsi="Times New Roman"/>
                <w:bCs/>
                <w:color w:val="auto"/>
                <w:sz w:val="18"/>
                <w:szCs w:val="18"/>
                <w:highlight w:val="none"/>
              </w:rPr>
            </w:pP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65" w:type="dxa"/>
            <w:gridSpan w:val="2"/>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2055" w:type="dxa"/>
            <w:gridSpan w:val="2"/>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8" w:space="0"/>
              <w:left w:val="nil"/>
              <w:bottom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指标名称</w:t>
            </w:r>
          </w:p>
        </w:tc>
        <w:tc>
          <w:tcPr>
            <w:tcW w:w="1422" w:type="dxa"/>
            <w:gridSpan w:val="2"/>
            <w:tcBorders>
              <w:top w:val="single" w:color="auto" w:sz="8" w:space="0"/>
              <w:bottom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计量单位</w:t>
            </w:r>
          </w:p>
        </w:tc>
        <w:tc>
          <w:tcPr>
            <w:tcW w:w="1278" w:type="dxa"/>
            <w:gridSpan w:val="2"/>
            <w:tcBorders>
              <w:top w:val="single" w:color="auto" w:sz="8"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代码</w:t>
            </w:r>
          </w:p>
        </w:tc>
        <w:tc>
          <w:tcPr>
            <w:tcW w:w="1533" w:type="dxa"/>
            <w:tcBorders>
              <w:top w:val="single" w:color="auto" w:sz="8"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left w:val="nil"/>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甲</w:t>
            </w:r>
          </w:p>
        </w:tc>
        <w:tc>
          <w:tcPr>
            <w:tcW w:w="1422" w:type="dxa"/>
            <w:gridSpan w:val="2"/>
            <w:tcBorders>
              <w:left w:val="single" w:color="auto" w:sz="2" w:space="0"/>
              <w:bottom w:val="single" w:color="auto" w:sz="4"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78" w:type="dxa"/>
            <w:gridSpan w:val="2"/>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丙</w:t>
            </w:r>
          </w:p>
        </w:tc>
        <w:tc>
          <w:tcPr>
            <w:tcW w:w="1533"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left w:val="nil"/>
              <w:bottom w:val="single" w:color="auto" w:sz="4" w:space="0"/>
              <w:right w:val="single" w:color="auto" w:sz="2"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工业总产值（当年价格）</w:t>
            </w:r>
          </w:p>
        </w:tc>
        <w:tc>
          <w:tcPr>
            <w:tcW w:w="1422" w:type="dxa"/>
            <w:gridSpan w:val="2"/>
            <w:tcBorders>
              <w:left w:val="single" w:color="auto" w:sz="2" w:space="0"/>
              <w:bottom w:val="single" w:color="auto" w:sz="4"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QC02</w:t>
            </w:r>
          </w:p>
        </w:tc>
        <w:tc>
          <w:tcPr>
            <w:tcW w:w="1533"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营业收入</w:t>
            </w:r>
            <w:r>
              <w:rPr>
                <w:rFonts w:hint="eastAsia" w:ascii="Times New Roman" w:hAnsi="Times New Roman" w:eastAsia="宋体" w:cs="Times New Roman"/>
                <w:bCs/>
                <w:color w:val="auto"/>
                <w:sz w:val="18"/>
                <w:szCs w:val="18"/>
                <w:highlight w:val="none"/>
              </w:rPr>
              <w:t>（QC05_0＝QC06+QC07+QC10+QC49）</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QC05_0</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其中：主营业务收入</w:t>
            </w:r>
            <w:r>
              <w:rPr>
                <w:rFonts w:hint="eastAsia" w:ascii="Times New Roman" w:hAnsi="Times New Roman" w:eastAsia="宋体" w:cs="Times New Roman"/>
                <w:bCs/>
                <w:color w:val="auto"/>
                <w:sz w:val="18"/>
                <w:szCs w:val="18"/>
                <w:highlight w:val="none"/>
              </w:rPr>
              <w:t>（QC55≤QC05_0）</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QC55</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right="-78" w:rightChars="-37" w:firstLine="360" w:firstLineChars="200"/>
              <w:jc w:val="both"/>
              <w:rPr>
                <w:rFonts w:ascii="Calibri" w:hAnsi="Calibri" w:cs="Calibri"/>
                <w:bCs/>
                <w:color w:val="auto"/>
                <w:spacing w:val="-8"/>
                <w:sz w:val="18"/>
                <w:szCs w:val="24"/>
                <w:highlight w:val="none"/>
              </w:rPr>
            </w:pPr>
            <w:r>
              <w:rPr>
                <w:rFonts w:ascii="Calibri" w:hAnsi="Calibri" w:cs="Calibri"/>
                <w:bCs/>
                <w:color w:val="auto"/>
                <w:sz w:val="18"/>
                <w:szCs w:val="24"/>
                <w:highlight w:val="none"/>
              </w:rPr>
              <w:t>其中：技术收入</w:t>
            </w:r>
            <w:r>
              <w:rPr>
                <w:rFonts w:hint="eastAsia" w:ascii="Times New Roman" w:hAnsi="Times New Roman" w:eastAsia="宋体" w:cs="Times New Roman"/>
                <w:bCs/>
                <w:color w:val="auto"/>
                <w:sz w:val="18"/>
                <w:szCs w:val="18"/>
                <w:highlight w:val="none"/>
              </w:rPr>
              <w:t>(QC06≥QC06_1+QC06_2+QC06_3+QC06_4）</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Calibri" w:hAnsi="Calibri" w:cs="Calibri"/>
                <w:bCs/>
                <w:color w:val="auto"/>
                <w:sz w:val="18"/>
                <w:szCs w:val="24"/>
                <w:highlight w:val="none"/>
              </w:rPr>
            </w:pPr>
            <w:r>
              <w:rPr>
                <w:rFonts w:ascii="Calibri" w:hAnsi="Calibri" w:cs="Calibri"/>
                <w:bCs/>
                <w:color w:val="auto"/>
                <w:sz w:val="18"/>
                <w:szCs w:val="24"/>
                <w:highlight w:val="none"/>
              </w:rPr>
              <w:t>其中：技术转让收入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技术承包收入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QC06_2</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技术咨询与服务收入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QC06_3</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Calibri" w:hAnsi="Calibri" w:cs="Calibri"/>
                <w:bCs/>
                <w:color w:val="auto"/>
                <w:sz w:val="18"/>
                <w:szCs w:val="24"/>
                <w:highlight w:val="none"/>
              </w:rPr>
            </w:pPr>
            <w:r>
              <w:rPr>
                <w:rFonts w:ascii="Calibri" w:hAnsi="Calibri" w:cs="Calibri"/>
                <w:bCs/>
                <w:color w:val="auto"/>
                <w:sz w:val="18"/>
                <w:szCs w:val="24"/>
                <w:highlight w:val="none"/>
              </w:rPr>
              <w:t>接受委托研究开发收入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QC06_4</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其中：产品销售收入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QC07</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tabs>
                <w:tab w:val="right" w:pos="4771"/>
              </w:tabs>
              <w:spacing w:line="280" w:lineRule="exact"/>
              <w:ind w:firstLine="1260" w:firstLineChars="700"/>
              <w:rPr>
                <w:rFonts w:ascii="Calibri" w:hAnsi="Calibri" w:cs="Calibri"/>
                <w:bCs/>
                <w:color w:val="auto"/>
                <w:sz w:val="18"/>
                <w:szCs w:val="24"/>
                <w:highlight w:val="none"/>
              </w:rPr>
            </w:pPr>
            <w:r>
              <w:rPr>
                <w:rFonts w:ascii="Calibri" w:hAnsi="Calibri" w:cs="Calibri"/>
                <w:bCs/>
                <w:color w:val="auto"/>
                <w:sz w:val="18"/>
                <w:szCs w:val="24"/>
                <w:highlight w:val="none"/>
              </w:rPr>
              <w:t>其中：高新技术产品销售收入</w:t>
            </w:r>
            <w:r>
              <w:rPr>
                <w:rFonts w:hint="eastAsia" w:ascii="Times New Roman" w:hAnsi="Times New Roman" w:eastAsia="宋体" w:cs="Times New Roman"/>
                <w:bCs/>
                <w:color w:val="auto"/>
                <w:sz w:val="18"/>
                <w:szCs w:val="18"/>
                <w:highlight w:val="none"/>
              </w:rPr>
              <w:t>（QC09≤QC07）</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QC09</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其中：商品销售收入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QC10</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其中：其他营业收入</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QC49</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进出口总额</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QC52</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Calibri" w:hAnsi="Calibri" w:cs="Calibri"/>
                <w:bCs/>
                <w:color w:val="auto"/>
                <w:sz w:val="18"/>
                <w:szCs w:val="24"/>
                <w:highlight w:val="none"/>
              </w:rPr>
            </w:pPr>
            <w:r>
              <w:rPr>
                <w:rFonts w:ascii="Calibri" w:hAnsi="Calibri" w:cs="Calibri"/>
                <w:bCs/>
                <w:color w:val="auto"/>
                <w:sz w:val="18"/>
                <w:szCs w:val="24"/>
                <w:highlight w:val="none"/>
              </w:rPr>
              <w:t>其中：出口总额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05_0，</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38，</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11_1）</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Calibri" w:hAnsi="Calibri" w:cs="Calibri"/>
                <w:bCs/>
                <w:color w:val="auto"/>
                <w:sz w:val="18"/>
                <w:szCs w:val="24"/>
                <w:highlight w:val="none"/>
              </w:rPr>
            </w:pPr>
            <w:r>
              <w:rPr>
                <w:rFonts w:ascii="Calibri" w:hAnsi="Calibri" w:cs="Calibri"/>
                <w:bCs/>
                <w:color w:val="auto"/>
                <w:sz w:val="18"/>
                <w:szCs w:val="24"/>
                <w:highlight w:val="none"/>
              </w:rPr>
              <w:t>其中：高新技术产品出口</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QC38</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right w:val="single" w:color="auto" w:sz="2" w:space="0"/>
            </w:tcBorders>
            <w:noWrap w:val="0"/>
            <w:vAlign w:val="center"/>
          </w:tcPr>
          <w:p>
            <w:pPr>
              <w:tabs>
                <w:tab w:val="center" w:pos="2863"/>
              </w:tabs>
              <w:spacing w:line="280" w:lineRule="exact"/>
              <w:ind w:firstLine="1440" w:firstLineChars="800"/>
              <w:rPr>
                <w:rFonts w:ascii="Calibri" w:hAnsi="Calibri" w:cs="Calibri"/>
                <w:bCs/>
                <w:color w:val="auto"/>
                <w:sz w:val="18"/>
                <w:szCs w:val="24"/>
                <w:highlight w:val="none"/>
              </w:rPr>
            </w:pPr>
            <w:r>
              <w:rPr>
                <w:rFonts w:ascii="Calibri" w:hAnsi="Calibri" w:cs="Calibri"/>
                <w:bCs/>
                <w:color w:val="auto"/>
                <w:kern w:val="0"/>
                <w:sz w:val="18"/>
                <w:szCs w:val="18"/>
                <w:highlight w:val="none"/>
              </w:rPr>
              <w:t>技术服务出口</w:t>
            </w:r>
          </w:p>
        </w:tc>
        <w:tc>
          <w:tcPr>
            <w:tcW w:w="1422"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kern w:val="0"/>
                <w:sz w:val="18"/>
                <w:szCs w:val="18"/>
                <w:highlight w:val="none"/>
              </w:rPr>
              <w:t>QC11_1</w:t>
            </w:r>
          </w:p>
        </w:tc>
        <w:tc>
          <w:tcPr>
            <w:tcW w:w="1533"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营业成本</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QC220</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税金及附加</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QC221</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18"/>
                <w:highlight w:val="none"/>
              </w:rPr>
              <w:t>销售费用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QC222</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管理费用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QC223</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rPr>
                <w:rFonts w:ascii="Calibri" w:hAnsi="Calibri" w:cs="Calibri"/>
                <w:bCs/>
                <w:color w:val="auto"/>
                <w:sz w:val="18"/>
                <w:szCs w:val="24"/>
                <w:highlight w:val="none"/>
              </w:rPr>
            </w:pPr>
            <w:r>
              <w:rPr>
                <w:rFonts w:ascii="Calibri" w:hAnsi="Calibri" w:cs="Calibri"/>
                <w:bCs/>
                <w:color w:val="auto"/>
                <w:sz w:val="18"/>
                <w:szCs w:val="24"/>
                <w:highlight w:val="none"/>
              </w:rPr>
              <w:t>研发费用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QC236</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Calibri" w:hAnsi="Calibri" w:eastAsia="Arial Unicode MS" w:cs="Calibri"/>
                <w:bCs/>
                <w:color w:val="auto"/>
                <w:kern w:val="0"/>
                <w:sz w:val="18"/>
                <w:szCs w:val="18"/>
                <w:highlight w:val="none"/>
              </w:rPr>
            </w:pPr>
            <w:r>
              <w:rPr>
                <w:rFonts w:ascii="Calibri" w:hAnsi="Calibri" w:cs="Calibri"/>
                <w:bCs/>
                <w:color w:val="auto"/>
                <w:sz w:val="18"/>
                <w:szCs w:val="18"/>
                <w:highlight w:val="none"/>
              </w:rPr>
              <w:t>财务费用</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jc w:val="center"/>
              <w:rPr>
                <w:rFonts w:cs="Calibri"/>
                <w:bCs/>
                <w:color w:val="auto"/>
                <w:sz w:val="18"/>
                <w:szCs w:val="24"/>
                <w:highlight w:val="none"/>
              </w:rPr>
            </w:pPr>
            <w:r>
              <w:rPr>
                <w:rFonts w:cs="Calibri"/>
                <w:bCs/>
                <w:color w:val="auto"/>
                <w:sz w:val="18"/>
                <w:szCs w:val="24"/>
                <w:highlight w:val="none"/>
              </w:rPr>
              <w:t>QC224</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资产减值损失（损失以“-”号记）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QC228</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napToGrid w:val="0"/>
              <w:spacing w:line="280" w:lineRule="exact"/>
              <w:jc w:val="left"/>
              <w:rPr>
                <w:rFonts w:ascii="宋体" w:hAnsi="宋体" w:cs="Calibri"/>
                <w:bCs/>
                <w:color w:val="auto"/>
                <w:sz w:val="18"/>
                <w:szCs w:val="18"/>
                <w:highlight w:val="none"/>
              </w:rPr>
            </w:pPr>
            <w:r>
              <w:rPr>
                <w:rFonts w:ascii="宋体" w:hAnsi="宋体" w:cs="Calibri"/>
                <w:bCs/>
                <w:color w:val="auto"/>
                <w:sz w:val="18"/>
                <w:szCs w:val="18"/>
                <w:highlight w:val="none"/>
              </w:rPr>
              <w:t>信用减值损失</w:t>
            </w:r>
            <w:r>
              <w:rPr>
                <w:rFonts w:ascii="宋体" w:hAnsi="宋体" w:cs="Calibri"/>
                <w:bCs/>
                <w:color w:val="auto"/>
                <w:sz w:val="18"/>
                <w:szCs w:val="24"/>
                <w:highlight w:val="none"/>
              </w:rPr>
              <w:t>（损失以“-”号记）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QC235</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公允价值变动收益（损失以“-”号记）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QC229</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投资收益（损失以“-”号记）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QC225</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4" w:space="0"/>
            </w:tcBorders>
            <w:noWrap w:val="0"/>
            <w:vAlign w:val="center"/>
          </w:tcPr>
          <w:p>
            <w:pPr>
              <w:spacing w:line="280" w:lineRule="exact"/>
              <w:jc w:val="left"/>
              <w:rPr>
                <w:rFonts w:ascii="宋体" w:hAnsi="宋体" w:cs="Calibri"/>
                <w:bCs/>
                <w:color w:val="auto"/>
                <w:sz w:val="18"/>
                <w:szCs w:val="24"/>
                <w:highlight w:val="none"/>
              </w:rPr>
            </w:pPr>
            <w:r>
              <w:rPr>
                <w:rFonts w:ascii="宋体" w:hAnsi="宋体" w:cs="Calibri"/>
                <w:bCs/>
                <w:color w:val="auto"/>
                <w:sz w:val="18"/>
                <w:szCs w:val="24"/>
                <w:highlight w:val="none"/>
              </w:rPr>
              <w:t>净敞口套期收益（损失以“-”号记）</w:t>
            </w:r>
          </w:p>
        </w:tc>
        <w:tc>
          <w:tcPr>
            <w:tcW w:w="1422" w:type="dxa"/>
            <w:gridSpan w:val="2"/>
            <w:tcBorders>
              <w:top w:val="single" w:color="auto" w:sz="4" w:space="0"/>
              <w:bottom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QC239</w:t>
            </w:r>
          </w:p>
        </w:tc>
        <w:tc>
          <w:tcPr>
            <w:tcW w:w="1533" w:type="dxa"/>
            <w:tcBorders>
              <w:top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07" w:type="dxa"/>
            <w:gridSpan w:val="2"/>
            <w:tcBorders>
              <w:top w:val="single" w:color="auto" w:sz="4" w:space="0"/>
              <w:left w:val="nil"/>
              <w:bottom w:val="single" w:color="auto" w:sz="8" w:space="0"/>
              <w:right w:val="single" w:color="auto" w:sz="4" w:space="0"/>
            </w:tcBorders>
            <w:noWrap w:val="0"/>
            <w:vAlign w:val="center"/>
          </w:tcPr>
          <w:p>
            <w:pPr>
              <w:snapToGrid w:val="0"/>
              <w:spacing w:line="280" w:lineRule="exact"/>
              <w:jc w:val="left"/>
              <w:rPr>
                <w:rFonts w:ascii="宋体" w:hAnsi="宋体" w:cs="Calibri"/>
                <w:bCs/>
                <w:color w:val="auto"/>
                <w:sz w:val="18"/>
                <w:szCs w:val="18"/>
                <w:highlight w:val="none"/>
              </w:rPr>
            </w:pPr>
            <w:r>
              <w:rPr>
                <w:rFonts w:ascii="宋体" w:hAnsi="宋体" w:cs="Calibri"/>
                <w:bCs/>
                <w:color w:val="auto"/>
                <w:sz w:val="18"/>
                <w:szCs w:val="18"/>
                <w:highlight w:val="none"/>
              </w:rPr>
              <w:t>资产处置收益(损失以“-”号记)</w:t>
            </w:r>
          </w:p>
        </w:tc>
        <w:tc>
          <w:tcPr>
            <w:tcW w:w="1422" w:type="dxa"/>
            <w:gridSpan w:val="2"/>
            <w:tcBorders>
              <w:top w:val="single" w:color="auto" w:sz="4" w:space="0"/>
              <w:left w:val="single" w:color="auto" w:sz="4" w:space="0"/>
              <w:bottom w:val="single" w:color="auto" w:sz="8" w:space="0"/>
              <w:right w:val="single" w:color="auto" w:sz="4" w:space="0"/>
            </w:tcBorders>
            <w:noWrap w:val="0"/>
            <w:vAlign w:val="center"/>
          </w:tcPr>
          <w:p>
            <w:pPr>
              <w:spacing w:line="280" w:lineRule="exact"/>
              <w:ind w:right="-65" w:rightChars="-31"/>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千元</w:t>
            </w:r>
          </w:p>
        </w:tc>
        <w:tc>
          <w:tcPr>
            <w:tcW w:w="1278" w:type="dxa"/>
            <w:gridSpan w:val="2"/>
            <w:tcBorders>
              <w:top w:val="single" w:color="auto" w:sz="4" w:space="0"/>
              <w:left w:val="single" w:color="auto" w:sz="4" w:space="0"/>
              <w:bottom w:val="single" w:color="auto" w:sz="8"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QC233</w:t>
            </w:r>
          </w:p>
        </w:tc>
        <w:tc>
          <w:tcPr>
            <w:tcW w:w="1533" w:type="dxa"/>
            <w:tcBorders>
              <w:top w:val="single" w:color="auto" w:sz="4" w:space="0"/>
              <w:left w:val="single" w:color="auto" w:sz="4" w:space="0"/>
              <w:bottom w:val="single" w:color="auto" w:sz="8"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sz w:val="18"/>
                <w:szCs w:val="24"/>
                <w:highlight w:val="none"/>
              </w:rPr>
            </w:pPr>
          </w:p>
        </w:tc>
      </w:tr>
    </w:tbl>
    <w:p>
      <w:pPr>
        <w:rPr>
          <w:rFonts w:ascii="Times New Roman" w:hAnsi="Times New Roman"/>
          <w:bCs/>
          <w:color w:val="auto"/>
          <w:highlight w:val="none"/>
        </w:rPr>
      </w:pPr>
      <w:r>
        <w:rPr>
          <w:rFonts w:ascii="Times New Roman" w:hAnsi="Times New Roman"/>
          <w:bCs/>
          <w:color w:val="auto"/>
          <w:szCs w:val="24"/>
          <w:highlight w:val="none"/>
        </w:rPr>
        <w:br w:type="page"/>
      </w:r>
      <w:r>
        <w:rPr>
          <w:rFonts w:ascii="Times New Roman" w:hAnsi="Times New Roman"/>
          <w:bCs/>
          <w:color w:val="auto"/>
          <w:sz w:val="18"/>
          <w:szCs w:val="18"/>
          <w:highlight w:val="none"/>
        </w:rPr>
        <w:t>续表</w:t>
      </w:r>
      <w:r>
        <w:rPr>
          <w:rFonts w:hint="eastAsia" w:ascii="Times New Roman" w:hAnsi="Times New Roman"/>
          <w:bCs/>
          <w:color w:val="auto"/>
          <w:sz w:val="18"/>
          <w:szCs w:val="18"/>
          <w:highlight w:val="none"/>
          <w:lang w:eastAsia="zh-CN"/>
        </w:rPr>
        <w:t>一</w:t>
      </w:r>
      <w:r>
        <w:rPr>
          <w:rFonts w:ascii="Times New Roman" w:hAnsi="Times New Roman"/>
          <w:bCs/>
          <w:color w:val="auto"/>
          <w:sz w:val="18"/>
          <w:szCs w:val="18"/>
          <w:highlight w:val="none"/>
        </w:rPr>
        <w:t>：</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0"/>
        <w:gridCol w:w="1419"/>
        <w:gridCol w:w="12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8" w:space="0"/>
              <w:left w:val="nil"/>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指标名称</w:t>
            </w:r>
          </w:p>
        </w:tc>
        <w:tc>
          <w:tcPr>
            <w:tcW w:w="1419" w:type="dxa"/>
            <w:tcBorders>
              <w:top w:val="single" w:color="auto" w:sz="8" w:space="0"/>
              <w:left w:val="single" w:color="auto" w:sz="2" w:space="0"/>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计量单位</w:t>
            </w:r>
          </w:p>
        </w:tc>
        <w:tc>
          <w:tcPr>
            <w:tcW w:w="1281" w:type="dxa"/>
            <w:tcBorders>
              <w:top w:val="single" w:color="auto" w:sz="8"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代码</w:t>
            </w:r>
          </w:p>
        </w:tc>
        <w:tc>
          <w:tcPr>
            <w:tcW w:w="1481" w:type="dxa"/>
            <w:tcBorders>
              <w:top w:val="single" w:color="auto" w:sz="8"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甲</w:t>
            </w:r>
          </w:p>
        </w:tc>
        <w:tc>
          <w:tcPr>
            <w:tcW w:w="1419" w:type="dxa"/>
            <w:tcBorders>
              <w:left w:val="single" w:color="auto" w:sz="2" w:space="0"/>
              <w:bottom w:val="single" w:color="auto" w:sz="4" w:space="0"/>
            </w:tcBorders>
            <w:noWrap w:val="0"/>
            <w:vAlign w:val="center"/>
          </w:tcPr>
          <w:p>
            <w:pPr>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丙</w:t>
            </w:r>
          </w:p>
        </w:tc>
        <w:tc>
          <w:tcPr>
            <w:tcW w:w="1481" w:type="dxa"/>
            <w:tcBorders>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其他收益</w:t>
            </w:r>
          </w:p>
        </w:tc>
        <w:tc>
          <w:tcPr>
            <w:tcW w:w="1419" w:type="dxa"/>
            <w:tcBorders>
              <w:left w:val="single" w:color="auto" w:sz="2" w:space="0"/>
              <w:bottom w:val="single" w:color="auto" w:sz="4" w:space="0"/>
            </w:tcBorders>
            <w:noWrap w:val="0"/>
            <w:vAlign w:val="center"/>
          </w:tcPr>
          <w:p>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QC232</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营业利润</w:t>
            </w:r>
          </w:p>
        </w:tc>
        <w:tc>
          <w:tcPr>
            <w:tcW w:w="1419" w:type="dxa"/>
            <w:tcBorders>
              <w:left w:val="single" w:color="auto" w:sz="2" w:space="0"/>
              <w:bottom w:val="single" w:color="auto" w:sz="4" w:space="0"/>
            </w:tcBorders>
            <w:noWrap w:val="0"/>
            <w:vAlign w:val="center"/>
          </w:tcPr>
          <w:p>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QC120</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营业外收入</w:t>
            </w:r>
          </w:p>
        </w:tc>
        <w:tc>
          <w:tcPr>
            <w:tcW w:w="1419" w:type="dxa"/>
            <w:tcBorders>
              <w:left w:val="single" w:color="auto" w:sz="2" w:space="0"/>
              <w:bottom w:val="single" w:color="auto" w:sz="4" w:space="0"/>
            </w:tcBorders>
            <w:noWrap w:val="0"/>
            <w:vAlign w:val="center"/>
          </w:tcPr>
          <w:p>
            <w:pPr>
              <w:spacing w:line="280" w:lineRule="exact"/>
              <w:ind w:right="-48" w:rightChars="-23"/>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right="-78" w:rightChars="-37"/>
              <w:jc w:val="center"/>
              <w:rPr>
                <w:rFonts w:cs="Calibri"/>
                <w:bCs/>
                <w:color w:val="auto"/>
                <w:kern w:val="2"/>
                <w:sz w:val="18"/>
                <w:szCs w:val="24"/>
                <w:highlight w:val="none"/>
                <w:lang w:val="en-US" w:eastAsia="zh-CN" w:bidi="ar-SA"/>
              </w:rPr>
            </w:pPr>
            <w:r>
              <w:rPr>
                <w:rFonts w:cs="Calibri"/>
                <w:bCs/>
                <w:color w:val="auto"/>
                <w:sz w:val="18"/>
                <w:szCs w:val="24"/>
                <w:highlight w:val="none"/>
              </w:rPr>
              <w:t>QC227</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营业外支出</w:t>
            </w:r>
          </w:p>
        </w:tc>
        <w:tc>
          <w:tcPr>
            <w:tcW w:w="1419" w:type="dxa"/>
            <w:tcBorders>
              <w:left w:val="single" w:color="auto" w:sz="2" w:space="0"/>
              <w:bottom w:val="single" w:color="auto" w:sz="4" w:space="0"/>
            </w:tcBorders>
            <w:noWrap w:val="0"/>
            <w:vAlign w:val="center"/>
          </w:tcPr>
          <w:p>
            <w:pPr>
              <w:spacing w:line="280" w:lineRule="exact"/>
              <w:ind w:right="-65" w:rightChars="-31"/>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QC230</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bCs/>
                <w:color w:val="auto"/>
                <w:kern w:val="2"/>
                <w:sz w:val="18"/>
                <w:szCs w:val="24"/>
                <w:highlight w:val="none"/>
                <w:lang w:val="en-US" w:eastAsia="zh-CN" w:bidi="ar-SA"/>
              </w:rPr>
            </w:pPr>
            <w:r>
              <w:rPr>
                <w:bCs/>
                <w:color w:val="auto"/>
                <w:sz w:val="18"/>
                <w:szCs w:val="18"/>
                <w:highlight w:val="none"/>
              </w:rPr>
              <w:t>利润总额</w:t>
            </w:r>
          </w:p>
        </w:tc>
        <w:tc>
          <w:tcPr>
            <w:tcW w:w="1419" w:type="dxa"/>
            <w:tcBorders>
              <w:left w:val="single" w:color="auto" w:sz="2" w:space="0"/>
              <w:bottom w:val="single" w:color="auto" w:sz="4" w:space="0"/>
            </w:tcBorders>
            <w:noWrap w:val="0"/>
            <w:vAlign w:val="center"/>
          </w:tcPr>
          <w:p>
            <w:pPr>
              <w:spacing w:line="280" w:lineRule="exact"/>
              <w:jc w:val="center"/>
              <w:rPr>
                <w:bCs/>
                <w:color w:val="auto"/>
                <w:kern w:val="2"/>
                <w:sz w:val="18"/>
                <w:szCs w:val="24"/>
                <w:highlight w:val="none"/>
                <w:lang w:val="en-US" w:eastAsia="zh-CN" w:bidi="ar-SA"/>
              </w:rPr>
            </w:pPr>
            <w:r>
              <w:rPr>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QC234</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bCs/>
                <w:color w:val="auto"/>
                <w:sz w:val="18"/>
                <w:szCs w:val="24"/>
                <w:highlight w:val="none"/>
              </w:rPr>
            </w:pPr>
            <w:r>
              <w:rPr>
                <w:bCs/>
                <w:color w:val="auto"/>
                <w:sz w:val="18"/>
                <w:szCs w:val="24"/>
                <w:highlight w:val="none"/>
              </w:rPr>
              <w:t>净利润</w:t>
            </w:r>
          </w:p>
        </w:tc>
        <w:tc>
          <w:tcPr>
            <w:tcW w:w="1419" w:type="dxa"/>
            <w:tcBorders>
              <w:left w:val="single" w:color="auto" w:sz="2" w:space="0"/>
              <w:bottom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QC12</w:t>
            </w:r>
          </w:p>
        </w:tc>
        <w:tc>
          <w:tcPr>
            <w:tcW w:w="1481" w:type="dxa"/>
            <w:tcBorders>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left w:val="nil"/>
              <w:bottom w:val="single" w:color="auto" w:sz="4" w:space="0"/>
              <w:right w:val="single" w:color="auto" w:sz="2" w:space="0"/>
            </w:tcBorders>
            <w:noWrap w:val="0"/>
            <w:vAlign w:val="center"/>
          </w:tcPr>
          <w:p>
            <w:pPr>
              <w:spacing w:line="280" w:lineRule="exact"/>
              <w:jc w:val="both"/>
              <w:rPr>
                <w:bCs/>
                <w:color w:val="auto"/>
                <w:sz w:val="18"/>
                <w:szCs w:val="24"/>
                <w:highlight w:val="none"/>
              </w:rPr>
            </w:pPr>
            <w:r>
              <w:rPr>
                <w:bCs/>
                <w:color w:val="auto"/>
                <w:sz w:val="18"/>
                <w:szCs w:val="24"/>
                <w:highlight w:val="none"/>
              </w:rPr>
              <w:t>所得税费用</w:t>
            </w:r>
          </w:p>
        </w:tc>
        <w:tc>
          <w:tcPr>
            <w:tcW w:w="1419" w:type="dxa"/>
            <w:tcBorders>
              <w:left w:val="single" w:color="auto" w:sz="2" w:space="0"/>
              <w:bottom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QC231</w:t>
            </w:r>
          </w:p>
        </w:tc>
        <w:tc>
          <w:tcPr>
            <w:tcW w:w="1481" w:type="dxa"/>
            <w:tcBorders>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实际上缴税费总额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13≥</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16）</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QC13</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tabs>
                <w:tab w:val="left" w:pos="462"/>
              </w:tabs>
              <w:spacing w:line="280" w:lineRule="exact"/>
              <w:ind w:firstLine="360"/>
              <w:rPr>
                <w:rFonts w:cs="Calibri"/>
                <w:bCs/>
                <w:color w:val="auto"/>
                <w:sz w:val="18"/>
                <w:szCs w:val="24"/>
                <w:highlight w:val="none"/>
              </w:rPr>
            </w:pPr>
            <w:r>
              <w:rPr>
                <w:rFonts w:cs="Calibri"/>
                <w:bCs/>
                <w:color w:val="auto"/>
                <w:sz w:val="18"/>
                <w:szCs w:val="24"/>
                <w:highlight w:val="none"/>
              </w:rPr>
              <w:t>其中：增值税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QC14</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所得税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QC16</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jc w:val="left"/>
              <w:rPr>
                <w:rFonts w:cs="Calibri"/>
                <w:bCs/>
                <w:color w:val="auto"/>
                <w:sz w:val="18"/>
                <w:szCs w:val="24"/>
                <w:highlight w:val="none"/>
              </w:rPr>
            </w:pPr>
            <w:r>
              <w:rPr>
                <w:rFonts w:cs="Calibri"/>
                <w:bCs/>
                <w:color w:val="auto"/>
                <w:sz w:val="18"/>
                <w:szCs w:val="24"/>
                <w:highlight w:val="none"/>
              </w:rPr>
              <w:t>减免税总额</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17≥</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18＋</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QC17</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ind w:firstLine="360"/>
              <w:jc w:val="left"/>
              <w:rPr>
                <w:rFonts w:ascii="Times New Roman" w:hAnsi="Times New Roman" w:eastAsia="宋体" w:cs="Calibri"/>
                <w:bCs/>
                <w:color w:val="auto"/>
                <w:sz w:val="18"/>
                <w:szCs w:val="24"/>
                <w:highlight w:val="none"/>
              </w:rPr>
            </w:pPr>
            <w:r>
              <w:rPr>
                <w:rFonts w:ascii="Times New Roman" w:hAnsi="Times New Roman" w:eastAsia="宋体" w:cs="Calibri"/>
                <w:bCs/>
                <w:color w:val="auto"/>
                <w:sz w:val="18"/>
                <w:szCs w:val="24"/>
                <w:highlight w:val="none"/>
              </w:rPr>
              <w:t>其中：增值税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QC18</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ind w:firstLine="900" w:firstLineChars="500"/>
              <w:jc w:val="left"/>
              <w:rPr>
                <w:rFonts w:hint="default" w:ascii="Times New Roman" w:hAnsi="Times New Roman" w:eastAsia="宋体" w:cs="Calibri"/>
                <w:bCs/>
                <w:color w:val="auto"/>
                <w:sz w:val="18"/>
                <w:szCs w:val="24"/>
                <w:highlight w:val="none"/>
                <w:lang w:val="en-US" w:eastAsia="zh-CN"/>
              </w:rPr>
            </w:pPr>
            <w:r>
              <w:rPr>
                <w:rFonts w:hint="default" w:ascii="Times New Roman" w:hAnsi="Times New Roman" w:eastAsia="宋体" w:cs="Calibri"/>
                <w:bCs/>
                <w:color w:val="auto"/>
                <w:sz w:val="18"/>
                <w:szCs w:val="24"/>
                <w:highlight w:val="none"/>
                <w:lang w:val="en-US" w:eastAsia="zh-CN"/>
              </w:rPr>
              <w:t>其中：享受先进制造业增值税加计抵减额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hint="default" w:eastAsia="宋体" w:cs="Calibri"/>
                <w:bCs/>
                <w:color w:val="auto"/>
                <w:sz w:val="18"/>
                <w:szCs w:val="24"/>
                <w:highlight w:val="none"/>
                <w:lang w:val="en-US" w:eastAsia="zh-CN"/>
              </w:rPr>
            </w:pPr>
            <w:r>
              <w:rPr>
                <w:rFonts w:hint="eastAsia" w:cs="Calibri"/>
                <w:bCs/>
                <w:color w:val="auto"/>
                <w:sz w:val="18"/>
                <w:szCs w:val="24"/>
                <w:highlight w:val="none"/>
                <w:lang w:val="en-US" w:eastAsia="zh-CN"/>
              </w:rPr>
              <w:t>QC18_1</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jc w:val="left"/>
              <w:rPr>
                <w:rFonts w:cs="Calibri"/>
                <w:bCs/>
                <w:color w:val="auto"/>
                <w:sz w:val="18"/>
                <w:szCs w:val="24"/>
                <w:highlight w:val="none"/>
              </w:rPr>
            </w:pPr>
            <w:r>
              <w:rPr>
                <w:rFonts w:cs="Calibri"/>
                <w:bCs/>
                <w:color w:val="auto"/>
                <w:sz w:val="18"/>
                <w:szCs w:val="24"/>
                <w:highlight w:val="none"/>
              </w:rPr>
              <w:t>其中：所得税</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20_1+</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20_2+</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20_3）</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jc w:val="left"/>
              <w:rPr>
                <w:rFonts w:cs="Calibri"/>
                <w:bCs/>
                <w:color w:val="auto"/>
                <w:sz w:val="18"/>
                <w:szCs w:val="24"/>
                <w:highlight w:val="none"/>
              </w:rPr>
            </w:pPr>
            <w:r>
              <w:rPr>
                <w:rFonts w:cs="Calibri"/>
                <w:bCs/>
                <w:color w:val="auto"/>
                <w:sz w:val="18"/>
                <w:szCs w:val="24"/>
                <w:highlight w:val="none"/>
              </w:rPr>
              <w:t>其中：享受高新技术企业所得税减免</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QC20_1</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jc w:val="left"/>
              <w:rPr>
                <w:rFonts w:cs="Calibri"/>
                <w:bCs/>
                <w:color w:val="auto"/>
                <w:sz w:val="18"/>
                <w:szCs w:val="24"/>
                <w:highlight w:val="none"/>
              </w:rPr>
            </w:pPr>
            <w:r>
              <w:rPr>
                <w:rFonts w:hint="eastAsia" w:cs="Calibri"/>
                <w:bCs/>
                <w:color w:val="auto"/>
                <w:sz w:val="18"/>
                <w:szCs w:val="24"/>
                <w:highlight w:val="none"/>
                <w:lang w:eastAsia="zh-CN"/>
              </w:rPr>
              <w:t>享受</w:t>
            </w:r>
            <w:r>
              <w:rPr>
                <w:rFonts w:hint="eastAsia" w:cs="Calibri"/>
                <w:bCs/>
                <w:color w:val="auto"/>
                <w:sz w:val="18"/>
                <w:szCs w:val="24"/>
                <w:highlight w:val="none"/>
              </w:rPr>
              <w:t>研发加计扣除所得税减免</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QC20_2</w:t>
            </w:r>
          </w:p>
        </w:tc>
        <w:tc>
          <w:tcPr>
            <w:tcW w:w="1481" w:type="dxa"/>
            <w:tcBorders>
              <w:top w:val="single" w:color="auto" w:sz="4" w:space="0"/>
              <w:left w:val="single" w:color="auto" w:sz="4" w:space="0"/>
              <w:bottom w:val="single" w:color="auto" w:sz="4" w:space="0"/>
              <w:right w:val="nil"/>
            </w:tcBorders>
            <w:noWrap w:val="0"/>
            <w:vAlign w:val="top"/>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jc w:val="left"/>
              <w:rPr>
                <w:rFonts w:cs="Calibri"/>
                <w:bCs/>
                <w:color w:val="auto"/>
                <w:sz w:val="18"/>
                <w:szCs w:val="24"/>
                <w:highlight w:val="none"/>
              </w:rPr>
            </w:pPr>
            <w:r>
              <w:rPr>
                <w:rFonts w:hint="eastAsia" w:cs="Calibri"/>
                <w:bCs/>
                <w:color w:val="auto"/>
                <w:sz w:val="18"/>
                <w:szCs w:val="24"/>
                <w:highlight w:val="none"/>
                <w:lang w:eastAsia="zh-CN"/>
              </w:rPr>
              <w:t>享受</w:t>
            </w:r>
            <w:r>
              <w:rPr>
                <w:rFonts w:cs="Calibri"/>
                <w:bCs/>
                <w:color w:val="auto"/>
                <w:sz w:val="18"/>
                <w:szCs w:val="24"/>
                <w:highlight w:val="none"/>
              </w:rPr>
              <w:t>技术转让所得税减免</w:t>
            </w:r>
          </w:p>
        </w:tc>
        <w:tc>
          <w:tcPr>
            <w:tcW w:w="1419" w:type="dxa"/>
            <w:tcBorders>
              <w:top w:val="single" w:color="auto" w:sz="4" w:space="0"/>
              <w:left w:val="single" w:color="auto" w:sz="2" w:space="0"/>
              <w:bottom w:val="single" w:color="auto" w:sz="4" w:space="0"/>
              <w:right w:val="single" w:color="auto" w:sz="2" w:space="0"/>
            </w:tcBorders>
            <w:noWrap w:val="0"/>
            <w:vAlign w:val="top"/>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QC20_3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应交增值税</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QC62</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本年应付职工薪酬（本年贷方累计发生额）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rFonts w:cs="Calibri"/>
                <w:bCs/>
                <w:color w:val="auto"/>
                <w:sz w:val="18"/>
                <w:szCs w:val="24"/>
                <w:highlight w:val="none"/>
              </w:rPr>
            </w:pPr>
            <w:r>
              <w:rPr>
                <w:rFonts w:cs="Calibri"/>
                <w:bCs/>
                <w:color w:val="auto"/>
                <w:sz w:val="18"/>
                <w:szCs w:val="24"/>
                <w:highlight w:val="none"/>
              </w:rPr>
              <w:t>资产总计</w:t>
            </w:r>
            <w:r>
              <w:rPr>
                <w:rFonts w:hint="eastAsia" w:ascii="Times New Roman" w:hAnsi="Times New Roman" w:eastAsia="宋体" w:cs="Times New Roman"/>
                <w:bCs/>
                <w:color w:val="auto"/>
                <w:sz w:val="18"/>
                <w:szCs w:val="18"/>
                <w:highlight w:val="none"/>
                <w:lang w:eastAsia="zh-CN"/>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25+</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27_1</w:t>
            </w:r>
            <w:r>
              <w:rPr>
                <w:rFonts w:hint="eastAsia" w:ascii="Times New Roman" w:hAnsi="Times New Roman" w:eastAsia="宋体" w:cs="Times New Roman"/>
                <w:bCs/>
                <w:color w:val="auto"/>
                <w:sz w:val="18"/>
                <w:szCs w:val="18"/>
                <w:highlight w:val="none"/>
                <w:lang w:eastAsia="zh-CN"/>
              </w:rPr>
              <w:t>）</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QC24</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360"/>
              <w:rPr>
                <w:rFonts w:cs="Calibri"/>
                <w:bCs/>
                <w:color w:val="auto"/>
                <w:sz w:val="18"/>
                <w:szCs w:val="24"/>
                <w:highlight w:val="none"/>
              </w:rPr>
            </w:pPr>
            <w:r>
              <w:rPr>
                <w:rFonts w:cs="Calibri"/>
                <w:bCs/>
                <w:color w:val="auto"/>
                <w:sz w:val="18"/>
                <w:szCs w:val="24"/>
                <w:highlight w:val="none"/>
              </w:rPr>
              <w:t>其中：流动资产合计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QC25</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非流动资产合计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QC27_1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其中：开发支出</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QC238</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cs="Calibri"/>
                <w:bCs/>
                <w:color w:val="auto"/>
                <w:sz w:val="18"/>
                <w:szCs w:val="24"/>
                <w:highlight w:val="none"/>
              </w:rPr>
            </w:pPr>
            <w:r>
              <w:rPr>
                <w:rFonts w:cs="Calibri"/>
                <w:bCs/>
                <w:color w:val="auto"/>
                <w:sz w:val="18"/>
                <w:szCs w:val="24"/>
                <w:highlight w:val="none"/>
              </w:rPr>
              <w:t>其中：固定资产净值</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QC29</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bCs/>
                <w:color w:val="auto"/>
                <w:sz w:val="18"/>
                <w:szCs w:val="24"/>
                <w:highlight w:val="none"/>
              </w:rPr>
            </w:pPr>
            <w:r>
              <w:rPr>
                <w:bCs/>
                <w:color w:val="auto"/>
                <w:sz w:val="18"/>
                <w:szCs w:val="24"/>
                <w:highlight w:val="none"/>
              </w:rPr>
              <w:t>无形资产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bCs/>
                <w:color w:val="auto"/>
                <w:sz w:val="18"/>
                <w:szCs w:val="24"/>
                <w:highlight w:val="none"/>
              </w:rPr>
            </w:pPr>
            <w:r>
              <w:rPr>
                <w:bCs/>
                <w:color w:val="auto"/>
                <w:sz w:val="18"/>
                <w:szCs w:val="24"/>
                <w:highlight w:val="none"/>
              </w:rPr>
              <w:t>其中：累计折旧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QC65</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bCs/>
                <w:color w:val="auto"/>
                <w:sz w:val="18"/>
                <w:szCs w:val="24"/>
                <w:highlight w:val="none"/>
              </w:rPr>
            </w:pPr>
            <w:r>
              <w:rPr>
                <w:bCs/>
                <w:color w:val="auto"/>
                <w:sz w:val="18"/>
                <w:szCs w:val="24"/>
                <w:highlight w:val="none"/>
              </w:rPr>
              <w:t>其中：本年折旧</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QC61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流动负债合计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QC237</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年末负债合计</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pPr>
              <w:spacing w:line="280" w:lineRule="exact"/>
              <w:ind w:firstLine="360" w:firstLineChars="200"/>
              <w:rPr>
                <w:bCs/>
                <w:color w:val="auto"/>
                <w:sz w:val="18"/>
                <w:szCs w:val="24"/>
                <w:highlight w:val="none"/>
              </w:rPr>
            </w:pPr>
            <w:r>
              <w:rPr>
                <w:bCs/>
                <w:color w:val="auto"/>
                <w:sz w:val="18"/>
                <w:szCs w:val="24"/>
                <w:highlight w:val="none"/>
              </w:rPr>
              <w:t>其中：存量银行贷款额</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QC32</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pPr>
              <w:spacing w:line="280" w:lineRule="exact"/>
              <w:rPr>
                <w:bCs/>
                <w:color w:val="auto"/>
                <w:sz w:val="18"/>
                <w:szCs w:val="24"/>
                <w:highlight w:val="none"/>
              </w:rPr>
            </w:pPr>
            <w:r>
              <w:rPr>
                <w:bCs/>
                <w:color w:val="auto"/>
                <w:sz w:val="18"/>
                <w:szCs w:val="18"/>
                <w:highlight w:val="none"/>
              </w:rPr>
              <w:t>年末所有者权益（股东权益）</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33＝</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24－</w:t>
            </w:r>
            <w:r>
              <w:rPr>
                <w:rFonts w:cs="Calibri"/>
                <w:bCs/>
                <w:color w:val="auto"/>
                <w:sz w:val="18"/>
                <w:szCs w:val="24"/>
                <w:highlight w:val="none"/>
              </w:rPr>
              <w:t>QC</w:t>
            </w:r>
            <w:r>
              <w:rPr>
                <w:rFonts w:hint="eastAsia" w:ascii="Times New Roman" w:hAnsi="Times New Roman" w:eastAsia="宋体" w:cs="Times New Roman"/>
                <w:bCs/>
                <w:color w:val="auto"/>
                <w:sz w:val="18"/>
                <w:szCs w:val="18"/>
                <w:highlight w:val="none"/>
              </w:rPr>
              <w:t>31）</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8" w:space="0"/>
              <w:right w:val="single" w:color="auto" w:sz="4" w:space="0"/>
            </w:tcBorders>
            <w:noWrap w:val="0"/>
            <w:vAlign w:val="center"/>
          </w:tcPr>
          <w:p>
            <w:pPr>
              <w:spacing w:line="280" w:lineRule="exact"/>
              <w:ind w:firstLine="360" w:firstLineChars="200"/>
              <w:rPr>
                <w:bCs/>
                <w:color w:val="auto"/>
                <w:sz w:val="18"/>
                <w:szCs w:val="24"/>
                <w:highlight w:val="none"/>
              </w:rPr>
            </w:pPr>
            <w:r>
              <w:rPr>
                <w:bCs/>
                <w:color w:val="auto"/>
                <w:sz w:val="18"/>
                <w:szCs w:val="18"/>
                <w:highlight w:val="none"/>
              </w:rPr>
              <w:t>其中：实收资本</w:t>
            </w:r>
            <w:r>
              <w:rPr>
                <w:rFonts w:hint="eastAsia"/>
                <w:bCs/>
                <w:color w:val="auto"/>
                <w:spacing w:val="-8"/>
                <w:sz w:val="18"/>
                <w:szCs w:val="18"/>
                <w:highlight w:val="none"/>
                <w:lang w:eastAsia="zh-CN"/>
              </w:rPr>
              <w:t>（</w:t>
            </w:r>
            <w:r>
              <w:rPr>
                <w:bCs/>
                <w:color w:val="auto"/>
                <w:spacing w:val="-8"/>
                <w:sz w:val="18"/>
                <w:szCs w:val="18"/>
                <w:highlight w:val="none"/>
              </w:rPr>
              <w:t>股本</w:t>
            </w:r>
            <w:r>
              <w:rPr>
                <w:rFonts w:hint="eastAsia"/>
                <w:bCs/>
                <w:color w:val="auto"/>
                <w:spacing w:val="-8"/>
                <w:sz w:val="18"/>
                <w:szCs w:val="18"/>
                <w:highlight w:val="none"/>
                <w:lang w:eastAsia="zh-CN"/>
              </w:rPr>
              <w:t>）</w:t>
            </w:r>
          </w:p>
        </w:tc>
        <w:tc>
          <w:tcPr>
            <w:tcW w:w="1419" w:type="dxa"/>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4" w:space="0"/>
              <w:bottom w:val="single" w:color="auto" w:sz="8"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QC34</w:t>
            </w:r>
          </w:p>
        </w:tc>
        <w:tc>
          <w:tcPr>
            <w:tcW w:w="1481" w:type="dxa"/>
            <w:tcBorders>
              <w:top w:val="single" w:color="auto" w:sz="4" w:space="0"/>
              <w:left w:val="single" w:color="auto" w:sz="4" w:space="0"/>
              <w:bottom w:val="single" w:color="auto" w:sz="8"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bl>
    <w:p>
      <w:pPr>
        <w:rPr>
          <w:color w:val="auto"/>
          <w:highlight w:val="none"/>
        </w:rPr>
      </w:pPr>
    </w:p>
    <w:p>
      <w:pPr>
        <w:rPr>
          <w:rFonts w:hint="eastAsia" w:eastAsia="宋体"/>
          <w:color w:val="auto"/>
          <w:sz w:val="18"/>
          <w:szCs w:val="20"/>
          <w:highlight w:val="none"/>
          <w:lang w:eastAsia="zh-CN"/>
        </w:rPr>
      </w:pPr>
      <w:r>
        <w:rPr>
          <w:rFonts w:hint="eastAsia"/>
          <w:color w:val="auto"/>
          <w:sz w:val="18"/>
          <w:szCs w:val="20"/>
          <w:highlight w:val="none"/>
          <w:lang w:eastAsia="zh-CN"/>
        </w:rPr>
        <w:t>续表二：</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0"/>
        <w:gridCol w:w="1419"/>
        <w:gridCol w:w="12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8" w:space="0"/>
              <w:left w:val="nil"/>
              <w:bottom w:val="single" w:color="auto" w:sz="4" w:space="0"/>
              <w:right w:val="single" w:color="auto" w:sz="4" w:space="0"/>
            </w:tcBorders>
            <w:noWrap w:val="0"/>
            <w:vAlign w:val="center"/>
          </w:tcPr>
          <w:p>
            <w:pPr>
              <w:spacing w:line="280" w:lineRule="exact"/>
              <w:ind w:firstLine="0" w:firstLineChars="0"/>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指标名称</w:t>
            </w:r>
          </w:p>
        </w:tc>
        <w:tc>
          <w:tcPr>
            <w:tcW w:w="1419"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计量单位</w:t>
            </w:r>
          </w:p>
        </w:tc>
        <w:tc>
          <w:tcPr>
            <w:tcW w:w="1281" w:type="dxa"/>
            <w:tcBorders>
              <w:top w:val="single" w:color="auto" w:sz="8"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代码</w:t>
            </w:r>
          </w:p>
        </w:tc>
        <w:tc>
          <w:tcPr>
            <w:tcW w:w="1481" w:type="dxa"/>
            <w:tcBorders>
              <w:top w:val="single" w:color="auto" w:sz="8"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甲</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乙</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丙</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ascii="Times New Roman" w:hAnsi="Times New Roman"/>
                <w:bCs/>
                <w:color w:val="auto"/>
                <w:kern w:val="2"/>
                <w:sz w:val="18"/>
                <w:szCs w:val="24"/>
                <w:highlight w:val="none"/>
                <w:lang w:val="en-US" w:eastAsia="zh-CN" w:bidi="ar-SA"/>
              </w:rPr>
            </w:pPr>
            <w:r>
              <w:rPr>
                <w:rFonts w:ascii="Times New Roman" w:hAnsi="Times New Roman"/>
                <w:bCs/>
                <w:color w:val="auto"/>
                <w:sz w:val="18"/>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bCs/>
                <w:color w:val="auto"/>
                <w:kern w:val="2"/>
                <w:sz w:val="18"/>
                <w:szCs w:val="24"/>
                <w:highlight w:val="none"/>
                <w:lang w:val="en-US" w:eastAsia="zh-CN" w:bidi="ar-SA"/>
              </w:rPr>
            </w:pPr>
            <w:r>
              <w:rPr>
                <w:bCs/>
                <w:color w:val="auto"/>
                <w:sz w:val="18"/>
                <w:szCs w:val="24"/>
                <w:highlight w:val="none"/>
              </w:rPr>
              <w:t>其中：企业上市融资股本</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kern w:val="2"/>
                <w:sz w:val="18"/>
                <w:szCs w:val="24"/>
                <w:highlight w:val="none"/>
                <w:lang w:val="en-US" w:eastAsia="zh-CN" w:bidi="ar-SA"/>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r>
              <w:rPr>
                <w:rFonts w:cs="Calibri"/>
                <w:bCs/>
                <w:color w:val="auto"/>
                <w:sz w:val="18"/>
                <w:szCs w:val="24"/>
                <w:highlight w:val="none"/>
              </w:rPr>
              <w:t>QC63</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kern w:val="2"/>
                <w:sz w:val="18"/>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bCs/>
                <w:color w:val="auto"/>
                <w:sz w:val="18"/>
                <w:szCs w:val="24"/>
                <w:highlight w:val="none"/>
              </w:rPr>
            </w:pPr>
            <w:r>
              <w:rPr>
                <w:bCs/>
                <w:color w:val="auto"/>
                <w:sz w:val="18"/>
                <w:szCs w:val="24"/>
                <w:highlight w:val="none"/>
              </w:rPr>
              <w:t>其中：企业境外上市融资股本</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QC50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对境外直接投资额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QC39</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本年固定资产投资额</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千元</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QC40</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90" w:type="dxa"/>
            <w:tcBorders>
              <w:top w:val="single" w:color="auto" w:sz="4" w:space="0"/>
              <w:left w:val="nil"/>
              <w:bottom w:val="single" w:color="auto" w:sz="4" w:space="0"/>
              <w:right w:val="single" w:color="auto" w:sz="2" w:space="0"/>
            </w:tcBorders>
            <w:noWrap w:val="0"/>
            <w:vAlign w:val="center"/>
          </w:tcPr>
          <w:p>
            <w:pPr>
              <w:spacing w:line="280" w:lineRule="exact"/>
              <w:rPr>
                <w:bCs/>
                <w:color w:val="auto"/>
                <w:sz w:val="18"/>
                <w:szCs w:val="24"/>
                <w:highlight w:val="none"/>
              </w:rPr>
            </w:pPr>
            <w:r>
              <w:rPr>
                <w:bCs/>
                <w:color w:val="auto"/>
                <w:sz w:val="18"/>
                <w:szCs w:val="24"/>
                <w:highlight w:val="none"/>
              </w:rPr>
              <w:t>规模以上工业企业及重点耗能企业综合能源消费量</w:t>
            </w:r>
          </w:p>
        </w:tc>
        <w:tc>
          <w:tcPr>
            <w:tcW w:w="1419"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bCs/>
                <w:color w:val="auto"/>
                <w:sz w:val="18"/>
                <w:szCs w:val="24"/>
                <w:highlight w:val="none"/>
              </w:rPr>
            </w:pPr>
            <w:r>
              <w:rPr>
                <w:bCs/>
                <w:color w:val="auto"/>
                <w:sz w:val="18"/>
                <w:szCs w:val="24"/>
                <w:highlight w:val="none"/>
              </w:rPr>
              <w:t>吨标准煤</w:t>
            </w:r>
          </w:p>
        </w:tc>
        <w:tc>
          <w:tcPr>
            <w:tcW w:w="1281" w:type="dxa"/>
            <w:tcBorders>
              <w:top w:val="single" w:color="auto" w:sz="4" w:space="0"/>
              <w:left w:val="single" w:color="auto" w:sz="2" w:space="0"/>
              <w:bottom w:val="single" w:color="auto" w:sz="4" w:space="0"/>
              <w:right w:val="single" w:color="auto" w:sz="4" w:space="0"/>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r>
              <w:rPr>
                <w:rFonts w:cs="Calibri"/>
                <w:bCs/>
                <w:color w:val="auto"/>
                <w:sz w:val="18"/>
                <w:szCs w:val="24"/>
                <w:highlight w:val="none"/>
              </w:rPr>
              <w:t>QC41</w:t>
            </w:r>
          </w:p>
        </w:tc>
        <w:tc>
          <w:tcPr>
            <w:tcW w:w="1481" w:type="dxa"/>
            <w:tcBorders>
              <w:top w:val="single" w:color="auto" w:sz="4" w:space="0"/>
              <w:left w:val="single" w:color="auto" w:sz="4" w:space="0"/>
              <w:bottom w:val="single" w:color="auto" w:sz="4" w:space="0"/>
              <w:right w:val="nil"/>
            </w:tcBorders>
            <w:noWrap w:val="0"/>
            <w:vAlign w:val="center"/>
          </w:tcPr>
          <w:p>
            <w:pPr>
              <w:spacing w:line="280" w:lineRule="exact"/>
              <w:ind w:left="-1" w:leftChars="-25" w:right="-78" w:rightChars="-37" w:hanging="52" w:hangingChars="29"/>
              <w:jc w:val="center"/>
              <w:rPr>
                <w:rFonts w:cs="Calibri"/>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9471" w:type="dxa"/>
            <w:gridSpan w:val="4"/>
            <w:tcBorders>
              <w:top w:val="single" w:color="auto" w:sz="4" w:space="0"/>
              <w:left w:val="nil"/>
              <w:bottom w:val="single" w:color="auto" w:sz="8" w:space="0"/>
              <w:right w:val="nil"/>
            </w:tcBorders>
            <w:noWrap w:val="0"/>
            <w:vAlign w:val="center"/>
          </w:tcPr>
          <w:p>
            <w:pPr>
              <w:snapToGrid/>
              <w:spacing w:line="280" w:lineRule="exact"/>
              <w:jc w:val="left"/>
              <w:rPr>
                <w:rFonts w:ascii="Times New Roman" w:hAnsi="Times New Roman"/>
                <w:bCs/>
                <w:color w:val="auto"/>
                <w:sz w:val="18"/>
                <w:szCs w:val="24"/>
                <w:highlight w:val="none"/>
              </w:rPr>
            </w:pPr>
            <w:r>
              <w:rPr>
                <w:rFonts w:ascii="Times New Roman" w:hAnsi="Times New Roman"/>
                <w:bCs/>
                <w:color w:val="auto"/>
                <w:sz w:val="18"/>
                <w:szCs w:val="24"/>
                <w:highlight w:val="none"/>
              </w:rPr>
              <w:t>补充资料：</w:t>
            </w:r>
          </w:p>
          <w:p>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企业当年是否获得风险投资（QC226_1）</w:t>
            </w:r>
            <w:r>
              <w:rPr>
                <w:rFonts w:ascii="宋体" w:hAnsi="宋体" w:cs="宋体"/>
                <w:bCs/>
                <w:color w:val="auto"/>
                <w:sz w:val="18"/>
                <w:szCs w:val="18"/>
                <w:highlight w:val="none"/>
              </w:rPr>
              <w:t>□  1.是  2.否</w:t>
            </w:r>
          </w:p>
          <w:p>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若是，请注明企业获得的风险投资的阶段是</w:t>
            </w:r>
            <w:r>
              <w:rPr>
                <w:bCs/>
                <w:color w:val="auto"/>
                <w:sz w:val="18"/>
                <w:szCs w:val="24"/>
                <w:highlight w:val="none"/>
              </w:rPr>
              <w:t xml:space="preserve"> </w:t>
            </w:r>
            <w:r>
              <w:rPr>
                <w:rFonts w:hint="eastAsia"/>
                <w:bCs/>
                <w:color w:val="auto"/>
                <w:sz w:val="18"/>
                <w:szCs w:val="24"/>
                <w:highlight w:val="none"/>
              </w:rPr>
              <w:t>（</w:t>
            </w:r>
            <w:r>
              <w:rPr>
                <w:bCs/>
                <w:color w:val="auto"/>
                <w:sz w:val="18"/>
                <w:szCs w:val="24"/>
                <w:highlight w:val="none"/>
              </w:rPr>
              <w:t>QC226_2</w:t>
            </w:r>
            <w:r>
              <w:rPr>
                <w:rFonts w:hint="eastAsia"/>
                <w:bCs/>
                <w:color w:val="auto"/>
                <w:sz w:val="18"/>
                <w:szCs w:val="24"/>
                <w:highlight w:val="none"/>
              </w:rPr>
              <w:t>）</w:t>
            </w:r>
            <w:r>
              <w:rPr>
                <w:bCs/>
                <w:color w:val="auto"/>
                <w:sz w:val="18"/>
                <w:szCs w:val="24"/>
                <w:highlight w:val="none"/>
              </w:rPr>
              <w:t xml:space="preserve"> </w:t>
            </w:r>
            <w:r>
              <w:rPr>
                <w:rFonts w:hint="eastAsia"/>
                <w:bCs/>
                <w:color w:val="auto"/>
                <w:sz w:val="18"/>
                <w:szCs w:val="24"/>
                <w:highlight w:val="none"/>
              </w:rPr>
              <w:t>□1.天使轮2.A轮3.B轮4.C轮5.D轮及以上</w:t>
            </w:r>
          </w:p>
          <w:p>
            <w:pPr>
              <w:snapToGrid/>
              <w:spacing w:line="280" w:lineRule="exact"/>
              <w:ind w:firstLine="180" w:firstLineChars="100"/>
              <w:jc w:val="left"/>
              <w:rPr>
                <w:bCs/>
                <w:color w:val="auto"/>
                <w:sz w:val="18"/>
                <w:szCs w:val="24"/>
                <w:highlight w:val="none"/>
              </w:rPr>
            </w:pPr>
            <w:r>
              <w:rPr>
                <w:rFonts w:hint="eastAsia"/>
                <w:bCs/>
                <w:color w:val="auto"/>
                <w:sz w:val="18"/>
                <w:szCs w:val="24"/>
                <w:highlight w:val="none"/>
              </w:rPr>
              <w:t>当年获得创业风险投资机构的风险投资额为（QC226）千元</w:t>
            </w:r>
          </w:p>
          <w:p>
            <w:pPr>
              <w:spacing w:line="280" w:lineRule="exact"/>
              <w:ind w:left="-1" w:leftChars="-25" w:right="-78" w:rightChars="-37" w:hanging="52" w:hangingChars="29"/>
              <w:jc w:val="both"/>
              <w:rPr>
                <w:rFonts w:ascii="Times New Roman" w:hAnsi="Times New Roman"/>
                <w:bCs/>
                <w:color w:val="auto"/>
                <w:sz w:val="18"/>
                <w:szCs w:val="24"/>
                <w:highlight w:val="none"/>
              </w:rPr>
            </w:pPr>
          </w:p>
        </w:tc>
      </w:tr>
    </w:tbl>
    <w:p>
      <w:pPr>
        <w:snapToGrid w:val="0"/>
        <w:spacing w:line="280" w:lineRule="exact"/>
        <w:ind w:firstLine="0" w:firstLineChars="0"/>
        <w:jc w:val="lef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widowControl/>
        <w:spacing w:line="360" w:lineRule="exact"/>
        <w:ind w:left="535" w:leftChars="-3" w:hanging="541" w:hangingChars="301"/>
        <w:jc w:val="left"/>
        <w:rPr>
          <w:bCs/>
          <w:color w:val="auto"/>
          <w:sz w:val="18"/>
          <w:szCs w:val="24"/>
          <w:highlight w:val="none"/>
        </w:rPr>
      </w:pPr>
      <w:r>
        <w:rPr>
          <w:rFonts w:hint="eastAsia"/>
          <w:bCs/>
          <w:color w:val="auto"/>
          <w:sz w:val="18"/>
          <w:szCs w:val="24"/>
          <w:highlight w:val="none"/>
        </w:rPr>
        <w:t>说明：1.工业总产值指标由工业企业填报，部分行业代码为非工业的企业，若企业本身存在混业经营且涉足工业领域，产生工业总产值的也需填报。</w:t>
      </w:r>
    </w:p>
    <w:p>
      <w:pPr>
        <w:widowControl/>
        <w:spacing w:line="360" w:lineRule="exact"/>
        <w:ind w:left="535" w:leftChars="-3" w:hanging="541" w:hangingChars="301"/>
        <w:jc w:val="left"/>
        <w:rPr>
          <w:bCs/>
          <w:color w:val="auto"/>
          <w:sz w:val="18"/>
          <w:szCs w:val="24"/>
          <w:highlight w:val="none"/>
        </w:rPr>
      </w:pPr>
      <w:r>
        <w:rPr>
          <w:bCs/>
          <w:color w:val="auto"/>
          <w:sz w:val="18"/>
          <w:szCs w:val="24"/>
          <w:highlight w:val="none"/>
        </w:rPr>
        <w:t xml:space="preserve"> </w:t>
      </w:r>
      <w:r>
        <w:rPr>
          <w:rFonts w:hint="eastAsia" w:ascii="Times New Roman" w:hAnsi="Times New Roman" w:eastAsia="宋体" w:cs="Times New Roman"/>
          <w:bCs/>
          <w:color w:val="auto"/>
          <w:sz w:val="18"/>
          <w:szCs w:val="24"/>
          <w:highlight w:val="none"/>
        </w:rPr>
        <w:t xml:space="preserve">     2.规模以上工业企业及重点耗能企业综合能源消费量指标，仅由规上工业企业、以及年综合能源消费量1万吨标准煤及以上的</w:t>
      </w:r>
      <w:r>
        <w:rPr>
          <w:rFonts w:hint="eastAsia"/>
          <w:bCs/>
          <w:color w:val="auto"/>
          <w:sz w:val="18"/>
          <w:szCs w:val="18"/>
          <w:highlight w:val="none"/>
        </w:rPr>
        <w:t>重点耗能单位填报。填报时可根据规上工业企业及重点能耗企业填报的国家统计局能源报表抄报。</w:t>
      </w:r>
    </w:p>
    <w:p>
      <w:pPr>
        <w:spacing w:line="360" w:lineRule="exact"/>
        <w:ind w:firstLine="540" w:firstLineChars="300"/>
        <w:rPr>
          <w:bCs/>
          <w:color w:val="auto"/>
          <w:sz w:val="18"/>
          <w:szCs w:val="24"/>
          <w:highlight w:val="none"/>
        </w:rPr>
      </w:pPr>
      <w:r>
        <w:rPr>
          <w:rFonts w:hint="eastAsia"/>
          <w:bCs/>
          <w:color w:val="auto"/>
          <w:sz w:val="18"/>
          <w:szCs w:val="24"/>
          <w:highlight w:val="none"/>
        </w:rPr>
        <w:t>3.审核关系：</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（1）QC05_0=QC06+QC07+QC10+QC49</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lang w:val="en-US" w:eastAsia="zh-CN"/>
        </w:rPr>
        <w:t xml:space="preserve">          </w:t>
      </w:r>
      <w:r>
        <w:rPr>
          <w:rFonts w:hint="eastAsia" w:ascii="Times New Roman" w:hAnsi="Times New Roman" w:eastAsia="宋体" w:cs="Times New Roman"/>
          <w:bCs/>
          <w:color w:val="auto"/>
          <w:sz w:val="18"/>
          <w:szCs w:val="18"/>
          <w:highlight w:val="none"/>
        </w:rPr>
        <w:t>（2）QC55≤QC05_0</w:t>
      </w:r>
      <w:r>
        <w:rPr>
          <w:rFonts w:hint="eastAsia" w:ascii="Times New Roman" w:hAnsi="Times New Roman" w:eastAsia="宋体" w:cs="Times New Roman"/>
          <w:bCs/>
          <w:color w:val="auto"/>
          <w:sz w:val="18"/>
          <w:szCs w:val="18"/>
          <w:highlight w:val="none"/>
        </w:rPr>
        <w:tab/>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（3）</w:t>
      </w:r>
      <w:r>
        <w:rPr>
          <w:rFonts w:hint="eastAsia" w:ascii="Times New Roman" w:hAnsi="Times New Roman" w:eastAsia="宋体" w:cs="Times New Roman"/>
          <w:bCs/>
          <w:color w:val="auto"/>
          <w:spacing w:val="0"/>
          <w:sz w:val="18"/>
          <w:szCs w:val="18"/>
          <w:highlight w:val="none"/>
        </w:rPr>
        <w:t>QC06≥QC06_1+QC06_2+QC06_3+QC06_4</w:t>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z w:val="18"/>
          <w:szCs w:val="18"/>
          <w:highlight w:val="none"/>
        </w:rPr>
        <w:t>（4）QC09≤QC07</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（5）QC52≥QC11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（6）QC05_0≥QC11</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（7）QC11≥QC38</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（8）QC11≥QC11_1</w:t>
      </w:r>
      <w:r>
        <w:rPr>
          <w:rFonts w:hint="eastAsia" w:ascii="Times New Roman" w:hAnsi="Times New Roman" w:eastAsia="宋体" w:cs="Times New Roman"/>
          <w:bCs/>
          <w:color w:val="auto"/>
          <w:sz w:val="18"/>
          <w:szCs w:val="18"/>
          <w:highlight w:val="none"/>
        </w:rPr>
        <w:tab/>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（9）QC13≥QC14＋QC16</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（10）QC17≥QC18＋QC20</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（11）QC20≥QC20_1+QC20_2+QC20_3</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（12）QC24=QC25＋QC27_1</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（13）QC27_1≥QC30</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（14）QC33＝QC24－QC31</w:t>
      </w:r>
    </w:p>
    <w:p>
      <w:pPr>
        <w:shd w:val="clear" w:color="auto" w:fill="auto"/>
        <w:snapToGrid/>
        <w:spacing w:line="280" w:lineRule="exact"/>
        <w:ind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（15）QC65≥QC61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（16）QC63≥QC50</w:t>
      </w:r>
    </w:p>
    <w:p>
      <w:pPr>
        <w:shd w:val="clear" w:color="auto" w:fill="auto"/>
        <w:snapToGrid/>
        <w:spacing w:line="280" w:lineRule="exact"/>
        <w:ind w:firstLine="540" w:firstLineChars="300"/>
        <w:jc w:val="left"/>
        <w:rPr>
          <w:rFonts w:cs="Calibri"/>
          <w:bCs/>
          <w:color w:val="auto"/>
          <w:highlight w:val="none"/>
        </w:rPr>
      </w:pPr>
      <w:r>
        <w:rPr>
          <w:rFonts w:hint="eastAsia" w:ascii="Times New Roman" w:hAnsi="Times New Roman" w:eastAsia="宋体" w:cs="Times New Roman"/>
          <w:bCs/>
          <w:color w:val="auto"/>
          <w:sz w:val="18"/>
          <w:szCs w:val="18"/>
          <w:highlight w:val="none"/>
        </w:rPr>
        <w:t>（17）若QC226_1=1，则QC226_2的有效代码为1、2、3、4或5，且QC226应＞0</w:t>
      </w:r>
    </w:p>
    <w:p>
      <w:pPr>
        <w:rPr>
          <w:rFonts w:ascii="Times New Roman" w:hAnsi="Times New Roman"/>
          <w:bCs/>
          <w:color w:val="auto"/>
          <w:highlight w:val="none"/>
        </w:rPr>
      </w:pPr>
    </w:p>
    <w:p>
      <w:pPr>
        <w:tabs>
          <w:tab w:val="left" w:pos="753"/>
        </w:tabs>
        <w:spacing w:line="400" w:lineRule="exact"/>
        <w:jc w:val="center"/>
        <w:rPr>
          <w:rFonts w:ascii="Times New Roman" w:hAnsi="Times New Roman"/>
          <w:b/>
          <w:color w:val="auto"/>
          <w:sz w:val="32"/>
          <w:szCs w:val="32"/>
          <w:highlight w:val="none"/>
        </w:rPr>
      </w:pPr>
      <w:r>
        <w:rPr>
          <w:rFonts w:ascii="Times New Roman" w:hAnsi="Times New Roman"/>
          <w:color w:val="auto"/>
          <w:sz w:val="28"/>
          <w:szCs w:val="28"/>
          <w:highlight w:val="none"/>
        </w:rPr>
        <w:br w:type="page"/>
      </w:r>
      <w:r>
        <w:rPr>
          <w:rFonts w:hint="eastAsia" w:ascii="黑体" w:hAnsi="黑体" w:eastAsia="黑体" w:cs="黑体"/>
          <w:b w:val="0"/>
          <w:bCs/>
          <w:color w:val="auto"/>
          <w:kern w:val="0"/>
          <w:sz w:val="32"/>
          <w:szCs w:val="32"/>
          <w:highlight w:val="none"/>
        </w:rPr>
        <w:t>指标解释</w:t>
      </w:r>
    </w:p>
    <w:p>
      <w:pPr>
        <w:pStyle w:val="9"/>
        <w:rPr>
          <w:rFonts w:ascii="Times New Roman" w:hAnsi="Times New Roman"/>
          <w:color w:val="auto"/>
          <w:highlight w:val="none"/>
        </w:rPr>
      </w:pP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工业总产值（当年价格）</w:t>
      </w:r>
      <w:r>
        <w:rPr>
          <w:rFonts w:ascii="Times New Roman" w:hAnsi="Times New Roman"/>
          <w:bCs/>
          <w:color w:val="auto"/>
          <w:szCs w:val="24"/>
          <w:highlight w:val="none"/>
        </w:rPr>
        <w:t>指工业企业在报告期内生产的以货币形式表现的工业最终产品和提供工业劳务活动的总价值量。指标由工业企业填报，部分行业代码为非工业的企业，若企业本身存在混业经营且涉足工业领域，产生工业总产值的企业也需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（1）工业总产值核算应遵循的原则</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最终产品的原则。即企业生产的成品价值必须是本企业生产的，经检验合格不需再进行任何加工的最终产品。企业对外销售的半成品也应视为最终产品计入工业总产值。而在本企业内各车间转移的半成品和在制品只能核算其期末期初差额价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“工厂法”原则。即以法人工业企业作为一个整体核算工业总产值，是其报告期内生产的最终产品和提供劳务的总价值量。</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（2）工业总产值的内容</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包括三部分：生产的成品价值、对外加工费收入、自制半成品在制品期末期初差额价值。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成品价值：指企业在报告期内生产，并在报告期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工业总产值是按现行价格核算的。成品价值按成品实物量乘以报告期不含应交增值税（销项税额）的产品实际销售平均单价核算。会计核算中按成本价格转账的自制设备和自产自用的成品，按成本价格核算生产成品价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核算。</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对于以对外加工生产为主，对外加工费收入所占比重较大的企业，如果对外加工费收入出现跨报告期支付的情况，为保证总产值生产口径核算的准确性，则应将对外加工费收入按实际情况调整，记录本报告期应实际收取的对外加工费收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自制半成品在制品期末期初差额价值：为了使工业总产值与工业中间投入中的物耗价值一致，以便同口径地核算工业增加值，规定本指标的核算原则是：凡是企业会计产品成本核算中核算半成品、在制品成本，则工业总产值中必须包括自制半成品在制品期末期初差额价值。反之则不包括。</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自制半成品在制品期末期初差额价值等于自制半成品在制品期末价值减去期初价值后的余额，如果期末价值小于期初价值，该指标为负值，企业在核算产值时，应按负值核算，不能作为零处理。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（3）工业总产值核算的几种具体规定</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凡自备原材料（包括自备零部件）生产，不论其加工繁简程度如何，一律按全价，即包括自备原材料的价值，核算工业总产值。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凡来料加工，加工企业只收取加工费，则加工企业一律按财务上结算的加工费核算工业总产值，即不包括定货者来料的价值。一般分两种情况：a.工业企业之间的来料加工，加工企业（即承包单位）按财务上结算的加工费核算工业总产值；委托加工的企业（即发包单位）按全价核算工业总产值。b.工业企业与非工业企业之间的来料加工，当工业企业作为加工企业时一律按加工费核算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自制半成品、在制品期末期初差额价值，原则上应计入工业总产值，但如果会计产品成本核算中不核算自制半成品、在制品成本，则不计入工业总产值；如果会计产品成本核算中核算自制半成品、在制品成本的，则计入工业总产值。</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营业收入</w:t>
      </w:r>
      <w:r>
        <w:rPr>
          <w:rFonts w:hint="eastAsia" w:ascii="Times New Roman" w:hAnsi="Times New Roman"/>
          <w:bCs/>
          <w:color w:val="auto"/>
          <w:szCs w:val="24"/>
          <w:highlight w:val="none"/>
        </w:rPr>
        <w:t>指企业从事销售商品、提供劳务和让渡资产使用权等生产经营活动形成的经济利益流入。包括“主营业务收入”和“其他业务收入”。根据会计“利润表”中“营业收入”项目的本年累计数填报。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主营业务收入</w:t>
      </w:r>
      <w:r>
        <w:rPr>
          <w:rFonts w:hint="eastAsia" w:ascii="Times New Roman" w:hAnsi="Times New Roman"/>
          <w:bCs/>
          <w:color w:val="auto"/>
          <w:szCs w:val="24"/>
          <w:highlight w:val="none"/>
        </w:rPr>
        <w:t>指企业经营主要业务所实现的收入。如果会计“利润表”列示“主营业务收入”项目，则根据其本年累计数填报；或者，根据会计“主营业务收入”科目的本年各月贷方余额（结转前）之和填报，如未设置该科目，以“营业收入”代替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技术收入</w:t>
      </w:r>
      <w:r>
        <w:rPr>
          <w:rFonts w:ascii="Times New Roman" w:hAnsi="Times New Roman"/>
          <w:bCs/>
          <w:color w:val="auto"/>
          <w:szCs w:val="24"/>
          <w:highlight w:val="none"/>
        </w:rPr>
        <w:t>指企业全年用于技术转让、技术承包、技术咨询与服务、技术入股、中试产品收入以及接受外单位委托的科研收入等。</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技术转让收入</w:t>
      </w:r>
      <w:r>
        <w:rPr>
          <w:rFonts w:ascii="Times New Roman" w:hAnsi="Times New Roman"/>
          <w:bCs/>
          <w:color w:val="auto"/>
          <w:szCs w:val="24"/>
          <w:highlight w:val="none"/>
        </w:rPr>
        <w:t>指企业科研与开发活动的成果通过技术贸易、技术转让所获得的收入。技术转让包括</w:t>
      </w:r>
      <w:r>
        <w:rPr>
          <w:rFonts w:ascii="Times New Roman" w:hAnsi="Times New Roman"/>
          <w:bCs/>
          <w:color w:val="auto"/>
          <w:szCs w:val="18"/>
          <w:highlight w:val="none"/>
        </w:rPr>
        <w:t>专利权转让、专利申请权转让、技术秘密转让、专利实施许可转让、计算机软件著作权转让、集成电路布图设计专有权转让、植物新品种权转让、生物、医药新品种权转让等。</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技术承包收入</w:t>
      </w:r>
      <w:r>
        <w:rPr>
          <w:rFonts w:ascii="Times New Roman" w:hAnsi="Times New Roman"/>
          <w:bCs/>
          <w:color w:val="auto"/>
          <w:szCs w:val="24"/>
          <w:highlight w:val="none"/>
        </w:rPr>
        <w:t>指技术项目设计承包、技术工程和技术承包所获得的收入。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技术咨询与服务收入</w:t>
      </w:r>
      <w:r>
        <w:rPr>
          <w:rFonts w:ascii="Times New Roman" w:hAnsi="Times New Roman"/>
          <w:bCs/>
          <w:color w:val="auto"/>
          <w:szCs w:val="24"/>
          <w:highlight w:val="none"/>
        </w:rPr>
        <w:t>指企业利用自己的人力、物力和数据系统等为社会和用户提供技术情报、技术资料、就特定项目提供可行性论证、技术预测、专题技术调查、分析评价等进行的技术咨询、以及以技术知识为客户解决特定技术问题，进行测试分析，开展技术中介服务和技术培训服务等各种技术服务所获得的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接受委托研究开发收入</w:t>
      </w:r>
      <w:r>
        <w:rPr>
          <w:rFonts w:ascii="Times New Roman" w:hAnsi="Times New Roman"/>
          <w:bCs/>
          <w:color w:val="auto"/>
          <w:szCs w:val="24"/>
          <w:highlight w:val="none"/>
        </w:rPr>
        <w:t>指企业承担社会各方面委托，开展新技术、新产品、新工艺等开发研究工作所获得的收入。</w:t>
      </w:r>
    </w:p>
    <w:p>
      <w:pPr>
        <w:adjustRightInd w:val="0"/>
        <w:snapToGrid w:val="0"/>
        <w:spacing w:line="400" w:lineRule="exact"/>
        <w:ind w:firstLine="436" w:firstLineChars="200"/>
        <w:rPr>
          <w:rFonts w:ascii="Times New Roman" w:hAnsi="Times New Roman"/>
          <w:bCs/>
          <w:color w:val="auto"/>
          <w:spacing w:val="4"/>
          <w:szCs w:val="24"/>
          <w:highlight w:val="none"/>
        </w:rPr>
      </w:pPr>
      <w:r>
        <w:rPr>
          <w:rFonts w:ascii="Times New Roman" w:hAnsi="Times New Roman" w:eastAsia="黑体"/>
          <w:bCs/>
          <w:color w:val="auto"/>
          <w:spacing w:val="4"/>
          <w:szCs w:val="21"/>
          <w:highlight w:val="none"/>
        </w:rPr>
        <w:t>产品销售收入</w:t>
      </w:r>
      <w:r>
        <w:rPr>
          <w:rFonts w:ascii="Times New Roman" w:hAnsi="Times New Roman"/>
          <w:bCs/>
          <w:color w:val="auto"/>
          <w:spacing w:val="4"/>
          <w:szCs w:val="24"/>
          <w:highlight w:val="none"/>
        </w:rPr>
        <w:t>指企业报告期内销售本企业生产的全部产成品、自制半成品和提供劳务等所取得的收入。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高新技术产品销售收入</w:t>
      </w:r>
      <w:r>
        <w:rPr>
          <w:rFonts w:ascii="Times New Roman" w:hAnsi="Times New Roman"/>
          <w:bCs/>
          <w:color w:val="auto"/>
          <w:szCs w:val="24"/>
          <w:highlight w:val="none"/>
        </w:rPr>
        <w:t>指企业报告期内生产的符合国家和省高新技术重点范围、技术领域和产品参考目录的全新型产品；或省内首次生产的换代型产品；或国内首次生产的改进型产品；或属创新产品等；具较高的技术含量和较高的附加值的产品所形成的销售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商品销售收入</w:t>
      </w:r>
      <w:r>
        <w:rPr>
          <w:rFonts w:ascii="Times New Roman" w:hAnsi="Times New Roman"/>
          <w:bCs/>
          <w:color w:val="auto"/>
          <w:szCs w:val="24"/>
          <w:highlight w:val="none"/>
        </w:rPr>
        <w:t>指企业销售以出售为目的而购入的非本企业生产产品的销售收入。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其他营业收入</w:t>
      </w:r>
      <w:r>
        <w:rPr>
          <w:rFonts w:ascii="Times New Roman" w:hAnsi="Times New Roman"/>
          <w:bCs/>
          <w:color w:val="auto"/>
          <w:szCs w:val="24"/>
          <w:highlight w:val="none"/>
        </w:rPr>
        <w:t>指企业经营获取的除技术收入、产品销售收入、商品销售收入之外的其他营业收入。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进出口总额</w:t>
      </w:r>
      <w:r>
        <w:rPr>
          <w:rFonts w:ascii="Times New Roman" w:hAnsi="Times New Roman"/>
          <w:bCs/>
          <w:color w:val="auto"/>
          <w:szCs w:val="24"/>
          <w:highlight w:val="none"/>
        </w:rPr>
        <w:t>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无商业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出口总额</w:t>
      </w:r>
      <w:r>
        <w:rPr>
          <w:rFonts w:ascii="Times New Roman" w:hAnsi="Times New Roman"/>
          <w:bCs/>
          <w:color w:val="auto"/>
          <w:szCs w:val="24"/>
          <w:highlight w:val="none"/>
        </w:rPr>
        <w:t>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高新技术产品出口</w:t>
      </w:r>
      <w:r>
        <w:rPr>
          <w:rFonts w:ascii="Times New Roman" w:hAnsi="Times New Roman"/>
          <w:bCs/>
          <w:color w:val="auto"/>
          <w:szCs w:val="24"/>
          <w:highlight w:val="none"/>
        </w:rPr>
        <w:t>指企业在报告期内的产品出口创汇属于海关总署《高新技术产品进出口统计目录》中所列的高新技术产品。</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技术服务出口</w:t>
      </w:r>
      <w:r>
        <w:rPr>
          <w:rFonts w:ascii="Times New Roman" w:hAnsi="Times New Roman"/>
          <w:bCs/>
          <w:color w:val="auto"/>
          <w:szCs w:val="24"/>
          <w:highlight w:val="none"/>
        </w:rPr>
        <w:t>指出口总额中的技术和服务的部分，不包括产品或商品的出口部分。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营业成本</w:t>
      </w:r>
      <w:r>
        <w:rPr>
          <w:rFonts w:hint="eastAsia" w:ascii="Times New Roman" w:hAnsi="Times New Roman"/>
          <w:bCs/>
          <w:color w:val="auto"/>
          <w:szCs w:val="24"/>
          <w:highlight w:val="none"/>
        </w:rPr>
        <w:t>指企业从事销售商品、提供劳务和让渡资产使用权等生产经营活动发生的实际成本。“营业成本”应当与“营业收入”进行配比。包括“主营业务成本”和“其他业务成本”。根据会计“利润表”中“营业成本”项目的本年累计数填报。</w:t>
      </w:r>
    </w:p>
    <w:p>
      <w:pPr>
        <w:adjustRightInd w:val="0"/>
        <w:snapToGrid w:val="0"/>
        <w:spacing w:line="400" w:lineRule="exact"/>
        <w:ind w:firstLine="420" w:firstLineChars="200"/>
        <w:rPr>
          <w:bCs/>
          <w:color w:val="auto"/>
          <w:szCs w:val="24"/>
          <w:highlight w:val="none"/>
        </w:rPr>
      </w:pPr>
      <w:r>
        <w:rPr>
          <w:rFonts w:hint="eastAsia" w:eastAsia="黑体"/>
          <w:bCs/>
          <w:color w:val="auto"/>
          <w:szCs w:val="21"/>
          <w:highlight w:val="none"/>
        </w:rPr>
        <w:t>税金及附加</w:t>
      </w:r>
      <w:r>
        <w:rPr>
          <w:rFonts w:hint="eastAsia"/>
          <w:bCs/>
          <w:color w:val="auto"/>
          <w:szCs w:val="24"/>
          <w:highlight w:val="none"/>
        </w:rPr>
        <w:t>指企业因从事生产经营活动按税法规定应缴纳的消费税、城市维护建设税、资源税、环境保护税、教育费附加、房产税、城镇土地使用税、车船税、印花税等相关税费。根据会计“利润表”中“税金及附加”项目的本年累计数填报。</w:t>
      </w:r>
    </w:p>
    <w:p>
      <w:pPr>
        <w:adjustRightInd w:val="0"/>
        <w:snapToGrid w:val="0"/>
        <w:spacing w:line="400" w:lineRule="exact"/>
        <w:ind w:firstLine="420" w:firstLineChars="200"/>
        <w:rPr>
          <w:bCs/>
          <w:color w:val="auto"/>
          <w:szCs w:val="24"/>
          <w:highlight w:val="none"/>
        </w:rPr>
      </w:pPr>
      <w:r>
        <w:rPr>
          <w:rFonts w:hint="eastAsia" w:eastAsia="黑体"/>
          <w:bCs/>
          <w:color w:val="auto"/>
          <w:szCs w:val="21"/>
          <w:highlight w:val="none"/>
        </w:rPr>
        <w:t>销售费用</w:t>
      </w:r>
      <w:r>
        <w:rPr>
          <w:rFonts w:hint="eastAsia"/>
          <w:bCs/>
          <w:color w:val="auto"/>
          <w:szCs w:val="24"/>
          <w:highlight w:val="none"/>
        </w:rPr>
        <w:t>指企业在销售商品和材料、提供劳务的过程中发生的各种费用，包括保险费、包装费、展览费、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累计数填报。执行其他企业会计制度的企业，根据会计“利润表”中“营业费用（或经营费用）”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管理费用</w:t>
      </w:r>
      <w:r>
        <w:rPr>
          <w:rFonts w:hint="eastAsia" w:ascii="Times New Roman" w:hAnsi="Times New Roman"/>
          <w:bCs/>
          <w:color w:val="auto"/>
          <w:szCs w:val="24"/>
          <w:highlight w:val="none"/>
        </w:rPr>
        <w:t>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企业会计准则》的企业,根据会计“利润表”中“管理费用”项目的本年累计数填报。执行《小企业会计准则》的企业,应将会计“利润表”中“管理费用”项目本年累计数减“研究费用”项目本年累计数后填报。执行《企业会计制度》的企业以及未执行财政部《关于修订印发2019年度一般企业财务报表格式的通知》（财会〔2019〕6号）的企业，在会计“利润表”中“管理费用”项目的本年累计数的基础上，根据会计“管理费用”科目下的“研究费用”相关明细科目，将“研发费用”剔除后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研发费用</w:t>
      </w:r>
      <w:r>
        <w:rPr>
          <w:rFonts w:hint="eastAsia" w:ascii="Times New Roman" w:hAnsi="Times New Roman"/>
          <w:bCs/>
          <w:color w:val="auto"/>
          <w:szCs w:val="24"/>
          <w:highlight w:val="none"/>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企业会计制度》的企业以及会计“利润表”未列示“研发费用”或“研究费用”的企业，根据会计“管理费用”科目下“研究费用”明细科目的本期发生额，以及“管理费用”科目下“无形资产摊销”明细科目的本期发生额分析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财务费用</w:t>
      </w:r>
      <w:r>
        <w:rPr>
          <w:rFonts w:hint="eastAsia" w:ascii="Times New Roman" w:hAnsi="Times New Roman"/>
          <w:bCs/>
          <w:color w:val="auto"/>
          <w:szCs w:val="24"/>
          <w:highlight w:val="none"/>
        </w:rPr>
        <w:t>指企业为筹集生产经营所需资金等而发生的筹资费用，包括企业生产经营期间发生的利息支出（减利息收入）、汇兑损失（减汇兑收益）以及相关的手续费等。根据会计“利润表”中“财务费用”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资产减值损失</w:t>
      </w:r>
      <w:r>
        <w:rPr>
          <w:rFonts w:ascii="Times New Roman" w:hAnsi="Times New Roman" w:eastAsia="黑体"/>
          <w:color w:val="auto"/>
          <w:highlight w:val="none"/>
        </w:rPr>
        <w:t>(损失以</w:t>
      </w:r>
      <w:r>
        <w:rPr>
          <w:rFonts w:hint="eastAsia" w:ascii="黑体" w:hAnsi="黑体" w:eastAsia="黑体"/>
          <w:color w:val="auto"/>
          <w:highlight w:val="none"/>
        </w:rPr>
        <w:t>“-”</w:t>
      </w:r>
      <w:r>
        <w:rPr>
          <w:rFonts w:ascii="Times New Roman" w:hAnsi="Times New Roman" w:eastAsia="黑体"/>
          <w:color w:val="auto"/>
          <w:highlight w:val="none"/>
        </w:rPr>
        <w:t>号记)</w:t>
      </w:r>
      <w:r>
        <w:rPr>
          <w:rFonts w:hint="eastAsia" w:ascii="Times New Roman" w:hAnsi="Times New Roman"/>
          <w:bCs/>
          <w:color w:val="auto"/>
          <w:szCs w:val="24"/>
          <w:highlight w:val="none"/>
        </w:rPr>
        <w:t>指企业计提各项资产减值准备所形成的损失。根据会计“利润表”中“资产减值损失”项目的本年累计数填报。如果会计“利润表”未设置该项目，填0。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信用减值损失</w:t>
      </w:r>
      <w:r>
        <w:rPr>
          <w:rFonts w:ascii="Times New Roman" w:hAnsi="Times New Roman" w:eastAsia="黑体"/>
          <w:color w:val="auto"/>
          <w:highlight w:val="none"/>
        </w:rPr>
        <w:t>(损失以</w:t>
      </w:r>
      <w:r>
        <w:rPr>
          <w:rFonts w:ascii="黑体" w:hAnsi="黑体" w:eastAsia="黑体"/>
          <w:color w:val="auto"/>
          <w:highlight w:val="none"/>
        </w:rPr>
        <w:t>“-”</w:t>
      </w:r>
      <w:r>
        <w:rPr>
          <w:rFonts w:ascii="Times New Roman" w:hAnsi="Times New Roman" w:eastAsia="黑体"/>
          <w:color w:val="auto"/>
          <w:highlight w:val="none"/>
        </w:rPr>
        <w:t>号记)</w:t>
      </w:r>
      <w:r>
        <w:rPr>
          <w:rFonts w:hint="eastAsia" w:ascii="Times New Roman" w:hAnsi="Times New Roman"/>
          <w:bCs/>
          <w:color w:val="auto"/>
          <w:szCs w:val="24"/>
          <w:highlight w:val="none"/>
        </w:rPr>
        <w:t>指企业计提的各项金融工具减值准备所形成的预期信用损失。根据会计“利润表”中“信用减值损失”项目的本年累计数填报。如果会计“利润表”未设置该项目，填0。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公允价值变动收益</w:t>
      </w:r>
      <w:r>
        <w:rPr>
          <w:rFonts w:hint="eastAsia" w:ascii="Times New Roman" w:hAnsi="Times New Roman"/>
          <w:bCs/>
          <w:color w:val="auto"/>
          <w:szCs w:val="24"/>
          <w:highlight w:val="none"/>
        </w:rPr>
        <w:t>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投资收益</w:t>
      </w:r>
      <w:r>
        <w:rPr>
          <w:rFonts w:hint="eastAsia" w:ascii="Times New Roman" w:hAnsi="Times New Roman"/>
          <w:bCs/>
          <w:color w:val="auto"/>
          <w:szCs w:val="24"/>
          <w:highlight w:val="none"/>
        </w:rPr>
        <w:t>指企业确认的投资收益或投资损失，反映企业以各种方式对外投资所取得的收益。根据会计“利润表”中“投资收益”项目的本年累计数填报。如为投资损失以“-”号记。</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净敞口套期收益</w:t>
      </w:r>
      <w:r>
        <w:rPr>
          <w:rFonts w:hint="eastAsia" w:ascii="Times New Roman" w:hAnsi="Times New Roman"/>
          <w:bCs/>
          <w:color w:val="auto"/>
          <w:highlight w:val="none"/>
        </w:rPr>
        <w:t>指净敞口套期下被套期项目累计公允价值变动转入当期损益的金额或现金流量套期储备转入当期损益的金额。根据会计“利润表”中“净敞口套期收益”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资产处置收益</w:t>
      </w:r>
      <w:r>
        <w:rPr>
          <w:rFonts w:hint="eastAsia" w:ascii="Times New Roman" w:hAnsi="Times New Roman"/>
          <w:bCs/>
          <w:color w:val="auto"/>
          <w:szCs w:val="24"/>
          <w:highlight w:val="none"/>
        </w:rPr>
        <w:t>指企业出售划分为持有待售的非流动资产（金融工具、长期股权投资和投资性房地产除外）或处置组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其他收益</w:t>
      </w:r>
      <w:r>
        <w:rPr>
          <w:rFonts w:hint="eastAsia" w:ascii="Times New Roman" w:hAnsi="Times New Roman"/>
          <w:bCs/>
          <w:color w:val="auto"/>
          <w:szCs w:val="21"/>
          <w:highlight w:val="none"/>
        </w:rPr>
        <w:t>指计入其他收益的政府补助，以及其他与日常活动相关且计入其他收益的项目。根据会计“利润表”中“其他收益”项目的本年累计数填报。如果会计“利润表”未设置该项目，填0。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营业利润</w:t>
      </w:r>
      <w:r>
        <w:rPr>
          <w:rFonts w:hint="eastAsia" w:ascii="Times New Roman" w:hAnsi="Times New Roman"/>
          <w:bCs/>
          <w:color w:val="auto"/>
          <w:szCs w:val="24"/>
          <w:highlight w:val="none"/>
        </w:rPr>
        <w:t>指企业从事生产经营活动所取得的利润。执行《企业会计准则》或《小企业会计准则》的企业，根据会计“利润表”中“营业利润”项目的本年累计数填报；执行《企业会计制度》的企业，根据会计“损益表”中“营业利润”项目、“投资收益”项目的本年累计数之和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营业外收入</w:t>
      </w:r>
      <w:r>
        <w:rPr>
          <w:rFonts w:hint="eastAsia" w:ascii="Times New Roman" w:hAnsi="Times New Roman"/>
          <w:bCs/>
          <w:color w:val="auto"/>
          <w:szCs w:val="21"/>
          <w:highlight w:val="none"/>
        </w:rPr>
        <w:t>指企业发生的除营业利润以外的收益，主要包括与企业日常活动无关的政府补助、盘盈利得、捐赠利得等。执行《企业会计准则》或《小企业会计准则》的企业，根据会计“利润表”中“营业外收入”项目的本年累计数填报；执行《企业会计制度》的企业，根据会计“损益表”中“营业外收入”项目、“补贴收入”项目的本年累计数之和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营业外支出</w:t>
      </w:r>
      <w:r>
        <w:rPr>
          <w:rFonts w:hint="eastAsia" w:ascii="Times New Roman" w:hAnsi="Times New Roman"/>
          <w:bCs/>
          <w:color w:val="auto"/>
          <w:szCs w:val="21"/>
          <w:highlight w:val="none"/>
        </w:rPr>
        <w:t>指企业发生的除营业利润以外的支出，主要包括公益性捐赠支出、非常损失、盘亏损失、非流动资产毁损报废损失等。根据会计“利润表”中“营业外支出”项目的本年累计数填报。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利润总额</w:t>
      </w:r>
      <w:r>
        <w:rPr>
          <w:rFonts w:hint="eastAsia" w:ascii="Times New Roman" w:hAnsi="Times New Roman"/>
          <w:bCs/>
          <w:color w:val="auto"/>
          <w:szCs w:val="24"/>
          <w:highlight w:val="none"/>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净利润</w:t>
      </w:r>
      <w:r>
        <w:rPr>
          <w:rFonts w:hint="eastAsia" w:ascii="Times New Roman" w:hAnsi="Times New Roman"/>
          <w:bCs/>
          <w:color w:val="auto"/>
          <w:szCs w:val="24"/>
          <w:highlight w:val="none"/>
        </w:rPr>
        <w:t>指企业实现的利润在上交国家所得税后的剩余部分，按会计“损益表”中“净利润”项目的本年累计数填报。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所得税费用</w:t>
      </w:r>
      <w:r>
        <w:rPr>
          <w:rFonts w:hint="eastAsia" w:ascii="Times New Roman" w:hAnsi="Times New Roman"/>
          <w:bCs/>
          <w:color w:val="auto"/>
          <w:szCs w:val="24"/>
          <w:highlight w:val="none"/>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企业会计制度》的企业，根据会计“损益表”中“所得税”项目的本年累计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实际上缴税费总额</w:t>
      </w:r>
      <w:r>
        <w:rPr>
          <w:rFonts w:ascii="Times New Roman" w:hAnsi="Times New Roman"/>
          <w:bCs/>
          <w:color w:val="auto"/>
          <w:szCs w:val="24"/>
          <w:highlight w:val="none"/>
        </w:rPr>
        <w:t>指企业在报告期年度内因生产经营等活动而实际上缴的各项税金、特种基金和附加费，包含印花税、土地使用税、房地产税及教育附加费等，不包含代扣代缴个人所得税和关税。按当年实际发生额填报。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减免税总额</w:t>
      </w:r>
      <w:r>
        <w:rPr>
          <w:rFonts w:ascii="Times New Roman" w:hAnsi="Times New Roman"/>
          <w:bCs/>
          <w:color w:val="auto"/>
          <w:szCs w:val="24"/>
          <w:highlight w:val="none"/>
        </w:rPr>
        <w:t>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pPr>
        <w:adjustRightInd w:val="0"/>
        <w:snapToGrid w:val="0"/>
        <w:spacing w:line="400" w:lineRule="exact"/>
        <w:ind w:firstLine="420" w:firstLineChars="200"/>
        <w:rPr>
          <w:rFonts w:ascii="Times New Roman" w:hAnsi="Times New Roman" w:eastAsia="黑体"/>
          <w:bCs/>
          <w:color w:val="auto"/>
          <w:szCs w:val="21"/>
          <w:highlight w:val="none"/>
        </w:rPr>
      </w:pPr>
      <w:r>
        <w:rPr>
          <w:rFonts w:hint="default" w:ascii="Times New Roman" w:hAnsi="Times New Roman" w:eastAsia="黑体"/>
          <w:bCs/>
          <w:color w:val="auto"/>
          <w:szCs w:val="21"/>
          <w:highlight w:val="none"/>
        </w:rPr>
        <w:t>享受先进制造业增值税加计抵减额</w:t>
      </w:r>
      <w:r>
        <w:rPr>
          <w:rFonts w:hint="default" w:ascii="Times New Roman" w:hAnsi="Times New Roman" w:eastAsia="宋体" w:cs="Times New Roman"/>
          <w:bCs/>
          <w:color w:val="auto"/>
          <w:szCs w:val="24"/>
          <w:highlight w:val="none"/>
        </w:rPr>
        <w:t>指报告期内高新技术企业按照《财政部 税务总局关于先进制造业企业增值税加计抵减政策的公告》（财政部税务总局公告〔2023〕43号）、《工业和信息化部办公厅关于2023年度享受增值税加计抵减政策的先进制造业企业名单制定工作有关事项的通知》（工信厅财函﹝2023﹞267号）及相关政策依法享受的增值税加计抵减额，按填报期当年税务部门实际抵减的税额填报。如本年实际发生的抵减额为零，即填0。</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享受高新技术企业所得税减免</w:t>
      </w:r>
      <w:r>
        <w:rPr>
          <w:rFonts w:ascii="Times New Roman" w:hAnsi="Times New Roman"/>
          <w:bCs/>
          <w:color w:val="auto"/>
          <w:szCs w:val="24"/>
          <w:highlight w:val="none"/>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lang w:eastAsia="zh-CN"/>
        </w:rPr>
        <w:t>享受</w:t>
      </w:r>
      <w:r>
        <w:rPr>
          <w:rFonts w:ascii="Times New Roman" w:hAnsi="Times New Roman" w:eastAsia="黑体"/>
          <w:bCs/>
          <w:color w:val="auto"/>
          <w:szCs w:val="21"/>
          <w:highlight w:val="none"/>
        </w:rPr>
        <w:t>研发加计扣除所得税减免</w:t>
      </w:r>
      <w:r>
        <w:rPr>
          <w:rFonts w:ascii="Times New Roman" w:hAnsi="Times New Roman"/>
          <w:bCs/>
          <w:color w:val="auto"/>
          <w:szCs w:val="24"/>
          <w:highlight w:val="none"/>
        </w:rPr>
        <w:t>指报告期内企业按照有关政策和税法规定税前加计扣除的研究开发活动费用所得税，按填报期当年税务部门实际减免的税额填报。如本年实际发生的减免额为零，即填0。对填报期上年应获得减免但未予实施，而实际在填报期年度获得减免的，须计入填报期填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lang w:eastAsia="zh-CN"/>
        </w:rPr>
        <w:t>享受</w:t>
      </w:r>
      <w:r>
        <w:rPr>
          <w:rFonts w:ascii="Times New Roman" w:hAnsi="Times New Roman" w:eastAsia="黑体"/>
          <w:bCs/>
          <w:color w:val="auto"/>
          <w:szCs w:val="21"/>
          <w:highlight w:val="none"/>
        </w:rPr>
        <w:t>技术转让所得税减免</w:t>
      </w:r>
      <w:r>
        <w:rPr>
          <w:rFonts w:ascii="Times New Roman" w:hAnsi="Times New Roman"/>
          <w:bCs/>
          <w:color w:val="auto"/>
          <w:szCs w:val="24"/>
          <w:highlight w:val="none"/>
        </w:rPr>
        <w:t>指按照《企业所得税法》第二十七条和《企业所得税法实施条例》第九十七条规定，企业符合条件的技术转让所得免征、减征的企业所得税额。</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4"/>
          <w:highlight w:val="none"/>
        </w:rPr>
        <w:t>应交增值税</w:t>
      </w:r>
      <w:r>
        <w:rPr>
          <w:rFonts w:hint="eastAsia" w:ascii="Times New Roman" w:hAnsi="Times New Roman"/>
          <w:bCs/>
          <w:color w:val="auto"/>
          <w:szCs w:val="24"/>
          <w:highlight w:val="none"/>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方法一：根据本期会计科目“销项税额”“进项税额转出”“出口退税”“简易计税”年初至期末贷方累计发生额，“进项税额”“出口抵减内销产品应纳税额”“减免税款”年初至期末借方累计发生额，取值后按照下述公式计算填报：</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应交增值税（本年累计发生额）=销项税额－（进项税额－进项税额转出）－出口抵减内销产品应纳税额－减免税款+出口退税+简易计税</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方法二：根据本期《增值税及附加税费申报表（一般纳税人适用）》（以“国家税务总局公告2021年第20号”版式为例）主表“销项税额”（第11栏）“进项税额”（第12栏）“进项税额转出”（第14栏）“免、抵、退应退税额”（第15栏）“简易计税办法计算的应纳税额”（第21栏）“按简易计税办法计算的纳税检查应补缴税额”（第22栏）“应纳税额减征额”（第23栏）栏目“一般项目”列中“本年累计”列，各期附表4“税额抵减情况表”（第6行第2列减第3列）“本期发生额”-“本期调减额”的本期累计数（政策有效期内，符合加计抵减条件的企业填报），按照下述公式计算填报：</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应交增值税（本年累计发生额）=销项税额－（进项税额－进项税额转出－免、抵、退应退税额）+简易计税办法计算的应纳税额+按简易计税办法计算的纳税检查应补缴税额－应纳税额减征额-加计抵减额</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计算方法说明及填报要求：</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（1）计算公式均体现权责发生制，本期发生的进项税额全部参与计算，相当于不设置留抵，同时也不抵扣会计账簿或增值税纳税申报表中上年年末留抵的进项税额，公式计算结果可以为负数。</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bCs/>
          <w:color w:val="auto"/>
          <w:szCs w:val="24"/>
          <w:highlight w:val="none"/>
        </w:rPr>
        <w:t>（2）按照公式计算本指标后，不应再加增值税减免税额，因为这部分价值不再形成企业缴纳义务。</w:t>
      </w:r>
    </w:p>
    <w:p>
      <w:pPr>
        <w:adjustRightInd w:val="0"/>
        <w:snapToGrid w:val="0"/>
        <w:spacing w:line="400" w:lineRule="exact"/>
        <w:ind w:firstLine="420" w:firstLineChars="200"/>
        <w:rPr>
          <w:rFonts w:ascii="Times New Roman" w:hAnsi="Times New Roman"/>
          <w:bCs/>
          <w:color w:val="auto"/>
          <w:sz w:val="24"/>
          <w:highlight w:val="none"/>
        </w:rPr>
      </w:pPr>
      <w:r>
        <w:rPr>
          <w:rFonts w:ascii="Times New Roman" w:hAnsi="Times New Roman" w:eastAsia="黑体"/>
          <w:bCs/>
          <w:color w:val="auto"/>
          <w:szCs w:val="24"/>
          <w:highlight w:val="none"/>
        </w:rPr>
        <w:t>进项税额</w:t>
      </w:r>
      <w:r>
        <w:rPr>
          <w:rFonts w:ascii="Times New Roman" w:hAnsi="Times New Roman"/>
          <w:bCs/>
          <w:color w:val="auto"/>
          <w:szCs w:val="24"/>
          <w:highlight w:val="none"/>
        </w:rPr>
        <w:t>指企业在报告期内购入货物或接受应税劳务而支付的、准予从销项税额中抵扣的增值税额。</w:t>
      </w:r>
    </w:p>
    <w:p>
      <w:pPr>
        <w:adjustRightInd w:val="0"/>
        <w:snapToGrid w:val="0"/>
        <w:spacing w:line="400" w:lineRule="exact"/>
        <w:ind w:firstLine="420" w:firstLineChars="200"/>
        <w:rPr>
          <w:rFonts w:ascii="Times New Roman" w:hAnsi="Times New Roman"/>
          <w:bCs/>
          <w:color w:val="auto"/>
          <w:sz w:val="24"/>
          <w:highlight w:val="none"/>
        </w:rPr>
      </w:pPr>
      <w:r>
        <w:rPr>
          <w:rFonts w:ascii="Times New Roman" w:hAnsi="Times New Roman" w:eastAsia="黑体"/>
          <w:bCs/>
          <w:color w:val="auto"/>
          <w:szCs w:val="24"/>
          <w:highlight w:val="none"/>
        </w:rPr>
        <w:t>销项税额</w:t>
      </w:r>
      <w:r>
        <w:rPr>
          <w:rFonts w:ascii="Times New Roman" w:hAnsi="Times New Roman"/>
          <w:bCs/>
          <w:color w:val="auto"/>
          <w:szCs w:val="24"/>
          <w:highlight w:val="none"/>
        </w:rPr>
        <w:t>指企业在报告期内销售货物或提供应税劳务应收取的增值税额。</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本年应付职工薪酬</w:t>
      </w:r>
      <w:r>
        <w:rPr>
          <w:rFonts w:ascii="Times New Roman" w:hAnsi="Times New Roman"/>
          <w:bCs/>
          <w:color w:val="auto"/>
          <w:szCs w:val="24"/>
          <w:highlight w:val="none"/>
        </w:rPr>
        <w:t>指企业为获得职工提供的服务或解除劳动关系而给予的各种形式的报酬或补偿。包括短期薪酬、离职后福利、辞退福利和其他长期职工福利。如果企业财务报告附注中包含“应付职工薪酬”项目，则根据其“应付职工薪酬列示”部分的合计项的本期增加额填报，执行《企业会计准则》或《小企业会计准则》的企业，根据会计“应付职工薪酬”科目的本年贷方累计发生额填报；执行其他企业会计制度的企业，应将本年上述职工薪酬包含的项目归并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资产总计</w:t>
      </w:r>
      <w:r>
        <w:rPr>
          <w:rFonts w:hint="eastAsia" w:ascii="Times New Roman" w:hAnsi="Times New Roman"/>
          <w:bCs/>
          <w:color w:val="auto"/>
          <w:szCs w:val="24"/>
          <w:highlight w:val="none"/>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流动资产合计</w:t>
      </w:r>
      <w:r>
        <w:rPr>
          <w:rFonts w:hint="eastAsia"/>
          <w:bCs/>
          <w:color w:val="auto"/>
          <w:szCs w:val="24"/>
          <w:highlight w:val="none"/>
        </w:rPr>
        <w:t>资产满足以下条件之一应归为流动资产：（1）预计在一个正常营业周期中变现、出售或耗用，主要包括存货、应收账款等；（2）主要为交易目的而持有；（3）预计在资产负债表日起一年内（含一年）变现；（4）自资产负债表日起一年内，交换其他资产或清偿负债的能力不受限制的现金或现金等价物。包括货币资金、应收票据、应收账款、存货等项目。根据会计“资产负债表”中“流动资产合计”项目的期末余额数填报。</w:t>
      </w:r>
    </w:p>
    <w:p>
      <w:pPr>
        <w:adjustRightInd w:val="0"/>
        <w:snapToGrid w:val="0"/>
        <w:spacing w:line="400" w:lineRule="exact"/>
        <w:ind w:firstLine="420" w:firstLineChars="200"/>
        <w:rPr>
          <w:rFonts w:hint="eastAsia"/>
          <w:bCs/>
          <w:color w:val="auto"/>
          <w:szCs w:val="24"/>
          <w:highlight w:val="none"/>
        </w:rPr>
      </w:pPr>
      <w:r>
        <w:rPr>
          <w:rFonts w:ascii="Times New Roman" w:hAnsi="Times New Roman" w:eastAsia="黑体"/>
          <w:bCs/>
          <w:color w:val="auto"/>
          <w:szCs w:val="21"/>
          <w:highlight w:val="none"/>
        </w:rPr>
        <w:t>非流动资产合计</w:t>
      </w:r>
      <w:r>
        <w:rPr>
          <w:rFonts w:hint="eastAsia"/>
          <w:bCs/>
          <w:color w:val="auto"/>
          <w:szCs w:val="24"/>
          <w:highlight w:val="none"/>
        </w:rPr>
        <w:t>指不能在一年或者超过一年的一个营业周期内变现或者耗用的资产，主要包括持有到期投资、长期应收款、长期股权投资、工程物资、投资性房地产、固定资产、在建工程、无形资产、长期待摊费用、可供出售金融资产等。根据会计“资产负债表”中“非流动资产”科目的期末余额填报。</w:t>
      </w:r>
    </w:p>
    <w:p>
      <w:pPr>
        <w:adjustRightInd w:val="0"/>
        <w:snapToGrid w:val="0"/>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固定资产净值</w:t>
      </w:r>
      <w:r>
        <w:rPr>
          <w:rFonts w:ascii="Times New Roman" w:hAnsi="Times New Roman"/>
          <w:bCs/>
          <w:color w:val="auto"/>
          <w:szCs w:val="21"/>
          <w:highlight w:val="none"/>
        </w:rPr>
        <w:t>指固定资产原价减去已提折旧后的净额，反映企业实际占用在固定资产上的资金数额和固定资产的新旧程度。计算公式：固定资产净值=固定资产原价-累计折旧。</w:t>
      </w:r>
      <w:r>
        <w:rPr>
          <w:rFonts w:ascii="Times New Roman" w:hAnsi="Times New Roman"/>
          <w:bCs/>
          <w:color w:val="auto"/>
          <w:szCs w:val="24"/>
          <w:highlight w:val="none"/>
        </w:rPr>
        <w:t>固定资产指企业为生产商品、提供劳务、出租或经营管理而持有的，使用寿命超过一个会计年度的有形资产。包括房屋、建筑物、机器、机械、运输工具以及其他与生产经营活动有关的设备、器具、工具等。</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无形资产</w:t>
      </w:r>
      <w:r>
        <w:rPr>
          <w:rFonts w:hint="eastAsia" w:ascii="Times New Roman" w:hAnsi="Times New Roman"/>
          <w:bCs/>
          <w:color w:val="auto"/>
          <w:szCs w:val="24"/>
          <w:highlight w:val="none"/>
        </w:rPr>
        <w:t>指调查单位拥有或者控制的没有实物形态的可辨认非货币性资产，无形资产通常包括专利权、非专利技术、商标权、著作权、特许权、土地使用权等。根据会计“资产负债表”中“无形资产”项目的期末余额填报。</w:t>
      </w:r>
    </w:p>
    <w:p>
      <w:pPr>
        <w:adjustRightInd w:val="0"/>
        <w:snapToGrid w:val="0"/>
        <w:spacing w:line="400" w:lineRule="exact"/>
        <w:ind w:firstLine="420" w:firstLineChars="200"/>
        <w:rPr>
          <w:rFonts w:ascii="Times New Roman" w:hAnsi="Times New Roman"/>
          <w:b/>
          <w:bCs/>
          <w:color w:val="auto"/>
          <w:szCs w:val="24"/>
          <w:highlight w:val="none"/>
        </w:rPr>
      </w:pPr>
      <w:r>
        <w:rPr>
          <w:rFonts w:ascii="Times New Roman" w:hAnsi="Times New Roman" w:eastAsia="黑体"/>
          <w:bCs/>
          <w:color w:val="auto"/>
          <w:szCs w:val="21"/>
          <w:highlight w:val="none"/>
        </w:rPr>
        <w:t>开发支出</w:t>
      </w:r>
      <w:r>
        <w:rPr>
          <w:rFonts w:hint="eastAsia"/>
          <w:bCs/>
          <w:color w:val="auto"/>
          <w:szCs w:val="24"/>
          <w:highlight w:val="none"/>
        </w:rPr>
        <w:t>指企业的研发项目在开发阶段满足资本化条件的支出，即达到预定用途形成无形资产的，计入“开发支出”。根据“研发支出”科目的“资本化支出”明细科目期末借方余额填列。</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固定资产折旧</w:t>
      </w:r>
      <w:r>
        <w:rPr>
          <w:rFonts w:ascii="Times New Roman" w:hAnsi="Times New Roman"/>
          <w:bCs/>
          <w:color w:val="auto"/>
          <w:szCs w:val="24"/>
          <w:highlight w:val="none"/>
        </w:rPr>
        <w:t>指企业在固定资产的使用寿命内，按照确定的方法对应计折旧额进行系统分摊。</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累计折旧</w:t>
      </w:r>
      <w:r>
        <w:rPr>
          <w:rFonts w:hint="eastAsia" w:ascii="Times New Roman" w:hAnsi="Times New Roman"/>
          <w:bCs/>
          <w:color w:val="auto"/>
          <w:szCs w:val="24"/>
          <w:highlight w:val="none"/>
        </w:rPr>
        <w:t>指企业在报告期末提取的历年固定资产折旧累计数。包括房屋、建筑物和机器设备等的折旧费。根据会计“累计折旧”科目的期末贷方余额填报。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本年折旧</w:t>
      </w:r>
      <w:r>
        <w:rPr>
          <w:rFonts w:hint="eastAsia" w:ascii="Times New Roman" w:hAnsi="Times New Roman"/>
          <w:bCs/>
          <w:color w:val="auto"/>
          <w:szCs w:val="24"/>
          <w:highlight w:val="none"/>
        </w:rPr>
        <w:t>指企业在报告期内提取的固定资产折旧合计数。可根据会计“累计折旧”科目的本期贷方累计发生额填报；或者，可根据会计“财务状况变动表”中“固定资产折旧”项的数值填报。若企业执行2001年《企业会计制度》，可以根据会计核算中《资产减值准备、投资及固定资产情况表》内“当年计提的固定资产折旧总额”项本年增加数填报。</w:t>
      </w:r>
    </w:p>
    <w:p>
      <w:pPr>
        <w:adjustRightInd w:val="0"/>
        <w:snapToGrid w:val="0"/>
        <w:spacing w:line="400" w:lineRule="exact"/>
        <w:ind w:firstLine="420" w:firstLineChars="200"/>
        <w:rPr>
          <w:rFonts w:hint="eastAsia"/>
          <w:bCs/>
          <w:color w:val="auto"/>
          <w:szCs w:val="24"/>
          <w:highlight w:val="none"/>
        </w:rPr>
      </w:pPr>
      <w:r>
        <w:rPr>
          <w:rFonts w:ascii="Times New Roman" w:hAnsi="Times New Roman" w:eastAsia="黑体"/>
          <w:bCs/>
          <w:color w:val="auto"/>
          <w:szCs w:val="21"/>
          <w:highlight w:val="none"/>
        </w:rPr>
        <w:t>年末负债合计</w:t>
      </w:r>
      <w:r>
        <w:rPr>
          <w:rFonts w:hint="eastAsia"/>
          <w:bCs/>
          <w:color w:val="auto"/>
          <w:szCs w:val="24"/>
          <w:highlight w:val="none"/>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bCs/>
          <w:color w:val="auto"/>
          <w:szCs w:val="24"/>
          <w:highlight w:val="none"/>
        </w:rPr>
        <w:t>负债一般按偿还期长短分为流动负债和非流动负债。执行《企业会计准则》或《小企业会计准则》的企业：负债合计=流动负债合计+非流动负债合计；执行《企业会计制度》的企业负债包括流动负债和长期负债。</w:t>
      </w:r>
    </w:p>
    <w:p>
      <w:pPr>
        <w:adjustRightInd w:val="0"/>
        <w:snapToGrid w:val="0"/>
        <w:spacing w:line="400" w:lineRule="exact"/>
        <w:ind w:firstLine="420" w:firstLineChars="200"/>
        <w:rPr>
          <w:bCs/>
          <w:color w:val="auto"/>
          <w:szCs w:val="24"/>
          <w:highlight w:val="none"/>
        </w:rPr>
      </w:pPr>
      <w:r>
        <w:rPr>
          <w:rFonts w:ascii="Times New Roman" w:hAnsi="Times New Roman" w:eastAsia="黑体"/>
          <w:bCs/>
          <w:color w:val="auto"/>
          <w:szCs w:val="21"/>
          <w:highlight w:val="none"/>
        </w:rPr>
        <w:t>流动负债合计</w:t>
      </w:r>
      <w:r>
        <w:rPr>
          <w:rFonts w:hint="eastAsia"/>
          <w:bCs/>
          <w:color w:val="auto"/>
          <w:szCs w:val="24"/>
          <w:highlight w:val="none"/>
        </w:rPr>
        <w:t>负债满足下列条件之一的应归为流动负债：（1）预计在一个正常营业周期中清偿；（2）主要为交易目的而持有；（3）自资产负债表日起一年内到期应予清偿；（4）企业无权自主地将清偿推迟至资产负债表日后一年以上。包括短期借款、应付票据、应付账款、应付职工薪酬、应交税费等项目。根据会计“资产负债表”中“流动负债合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存量银行贷款额</w:t>
      </w:r>
      <w:r>
        <w:rPr>
          <w:rFonts w:ascii="Times New Roman" w:hAnsi="Times New Roman"/>
          <w:bCs/>
          <w:color w:val="auto"/>
          <w:szCs w:val="24"/>
          <w:highlight w:val="none"/>
        </w:rPr>
        <w:t>指到会计期末企业尚未偿还的银行贷款，等于贷款总额扣除已偿还的银行贷款。</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年末所有者权益</w:t>
      </w:r>
      <w:r>
        <w:rPr>
          <w:rFonts w:hint="eastAsia" w:ascii="Times New Roman" w:hAnsi="Times New Roman"/>
          <w:bCs/>
          <w:color w:val="auto"/>
          <w:szCs w:val="24"/>
          <w:highlight w:val="none"/>
        </w:rPr>
        <w:t>指企业资产扣除负债后由所有者享有的剩余权益。公司的所有者权益又称股东权益。包括实收资本、资本公积、盈余公积、未分配利润等。根据会计“资产负债表”中“所有者权益合计”项目的期末余额数填报。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实收资本</w:t>
      </w:r>
      <w:r>
        <w:rPr>
          <w:rFonts w:hint="eastAsia" w:ascii="Times New Roman" w:hAnsi="Times New Roman"/>
          <w:bCs/>
          <w:color w:val="auto"/>
          <w:szCs w:val="24"/>
          <w:highlight w:val="none"/>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企业上市融资股本</w:t>
      </w:r>
      <w:r>
        <w:rPr>
          <w:rFonts w:ascii="Times New Roman" w:hAnsi="Times New Roman"/>
          <w:bCs/>
          <w:color w:val="auto"/>
          <w:szCs w:val="24"/>
          <w:highlight w:val="none"/>
        </w:rPr>
        <w:t>指截至当年存有的股本，不是指融资量，统计前提是上市资产的所有权归属于填报企业。</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企业境外上市融资股本</w:t>
      </w:r>
      <w:r>
        <w:rPr>
          <w:rFonts w:ascii="Times New Roman" w:hAnsi="Times New Roman"/>
          <w:bCs/>
          <w:color w:val="auto"/>
          <w:szCs w:val="24"/>
          <w:highlight w:val="none"/>
        </w:rPr>
        <w:t>指截至当年存有的股本，不是指融资量，统计前提是海外上市资产的所有权归属于填报企业。</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对境外直接投资额</w:t>
      </w:r>
      <w:r>
        <w:rPr>
          <w:rFonts w:ascii="Times New Roman" w:hAnsi="Times New Roman"/>
          <w:bCs/>
          <w:color w:val="auto"/>
          <w:szCs w:val="24"/>
          <w:highlight w:val="none"/>
        </w:rPr>
        <w:t>指境内投资主体在报告期内直接向其境外企业实现的实际投资额，包括股本投资部分、利润再投资部分以及与公司之间债务交易有关的其他投资部分。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股本投资</w:t>
      </w:r>
      <w:r>
        <w:rPr>
          <w:rFonts w:ascii="Times New Roman" w:hAnsi="Times New Roman"/>
          <w:bCs/>
          <w:color w:val="auto"/>
          <w:szCs w:val="24"/>
          <w:highlight w:val="none"/>
        </w:rPr>
        <w:t>指境内投资主体在其境外分支机构的股本金，或在其境外子公司和联营公司的股份。</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利润再投资</w:t>
      </w:r>
      <w:r>
        <w:rPr>
          <w:rFonts w:ascii="Times New Roman" w:hAnsi="Times New Roman"/>
          <w:bCs/>
          <w:color w:val="auto"/>
          <w:szCs w:val="24"/>
          <w:highlight w:val="none"/>
        </w:rPr>
        <w:t>指境外子公司或联营公司未作为红利分配但应归属于境内投资主体的利润部分，以及境外分支机构未汇给境内投资主体的利润部分。</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其他投资</w:t>
      </w:r>
      <w:r>
        <w:rPr>
          <w:rFonts w:ascii="Times New Roman" w:hAnsi="Times New Roman"/>
          <w:bCs/>
          <w:color w:val="auto"/>
          <w:szCs w:val="24"/>
          <w:highlight w:val="none"/>
        </w:rPr>
        <w:t>指境内投资主体和境外子公司、分支机构以及联营公司之间的债务交易等，包括境内投资主体向境外子公司提供的贷款和境外子公司向境内投资主体提供的贷款。</w:t>
      </w:r>
    </w:p>
    <w:p>
      <w:pPr>
        <w:shd w:val="clear" w:color="auto" w:fill="auto"/>
        <w:spacing w:line="400" w:lineRule="exact"/>
        <w:ind w:firstLine="420" w:firstLineChars="200"/>
        <w:rPr>
          <w:rFonts w:hint="eastAsia" w:eastAsia="宋体"/>
          <w:bCs/>
          <w:color w:val="auto"/>
          <w:highlight w:val="none"/>
        </w:rPr>
      </w:pPr>
      <w:r>
        <w:rPr>
          <w:rFonts w:hint="eastAsia" w:eastAsia="黑体"/>
          <w:bCs/>
          <w:color w:val="auto"/>
          <w:highlight w:val="none"/>
        </w:rPr>
        <w:t>固定资产投资额</w:t>
      </w:r>
      <w:r>
        <w:rPr>
          <w:rFonts w:hint="eastAsia" w:eastAsia="宋体"/>
          <w:bCs/>
          <w:color w:val="auto"/>
          <w:highlight w:val="none"/>
        </w:rPr>
        <w:t>指以货币形式表现的在一定时期内建造和购置固定资产的工作量以及与此有关的费用的总称。固定资产投资统计范围不包括：</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（1）不属于固定资产的。</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①流动资产。无论是否与固定资产投资项目相关，均不能纳入固定资产投资统计范围。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②消耗品，如办公耗材（低值易耗品）等。</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③投资品，如股票（或股权）、期货、金融衍生产品、古玩字画、文艺作品等。</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④消耗性生物资产，如农作物、待售林木和花卉、存栏待售的牲畜（非种畜、役畜）等。</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⑤发放给农户的货币补贴，如美丽乡村、新农村建设等项目中的补贴。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⑥投资统计制度规定的其他不应纳入投资统计范围的内容。</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（2）相关支出在会计上作为成本费用处理的建设活动。</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一般包括大修理、养护、维护性质的工程，如设备维修、建筑物翻修和加固、单纯装饰装修、农田水利工程（堤防、水库）维修、铁路大修、道路日常养护、景观维护等。这类建设活动未替换原有的固定资产，也没有增加新的固定资产，属于生产范畴，不属于投资活动。</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（3）会造成重复统计的。</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一般包括单纯购置的旧建筑物和旧设备、临时性租赁租入（融资租赁除外）的固定资产、单位购置的商品房（包括主管部门购置商品房转换为保障性住房）、单纯土地平整、土地一级开发、围海造地等。这类建设项目虽然符合固定资产投资属性，但由于其相关支出已经在前期统计或将在后期建设时进行统计，为避免重复统计，上述内容不纳入固定资产投资统计范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下列内容应纳入固定资产投资统计范围：</w:t>
      </w:r>
    </w:p>
    <w:p>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1）对现有固定资产进行投入再建设，改变其使用价值，调查单位在会计上进行资本化处理，且达到投资项目报送起点的项目，可纳入固定资产投资统计范围。如在现有道路基础上进行路面拓宽（如4车道扩为6车道）或升级（如低等级道路升级为高等级公路）。</w:t>
      </w:r>
    </w:p>
    <w:p>
      <w:pPr>
        <w:adjustRightInd w:val="0"/>
        <w:snapToGrid w:val="0"/>
        <w:spacing w:line="400" w:lineRule="exact"/>
        <w:ind w:firstLine="420"/>
        <w:jc w:val="left"/>
        <w:rPr>
          <w:rFonts w:ascii="Times New Roman" w:hAnsi="Times New Roman"/>
          <w:bCs/>
          <w:color w:val="auto"/>
          <w:szCs w:val="24"/>
          <w:highlight w:val="none"/>
        </w:rPr>
      </w:pPr>
      <w:r>
        <w:rPr>
          <w:rFonts w:hint="eastAsia" w:eastAsia="宋体"/>
          <w:bCs/>
          <w:color w:val="auto"/>
          <w:highlight w:val="none"/>
        </w:rPr>
        <w:t>（2）生产性生物资产，如种畜、役畜和各种经济林木；公益性生物资产，如防风固沙林、水土保持林和水源涵养林；新建城市绿化或道路绿化项目中购置的苗木等，可纳入固定资产投资统计，填入其他费用。</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1"/>
          <w:highlight w:val="none"/>
        </w:rPr>
        <w:t>能源消费量</w:t>
      </w:r>
      <w:r>
        <w:rPr>
          <w:rFonts w:hint="eastAsia" w:ascii="Times New Roman" w:hAnsi="Times New Roman"/>
          <w:bCs/>
          <w:color w:val="auto"/>
          <w:szCs w:val="24"/>
          <w:highlight w:val="none"/>
        </w:rPr>
        <w:t>指能源使用企业（单位）在报告期内实际消费的各种能源的数量。能源消费量分实物量和标准量两种。能源消费实物量是按照报表规定的、体现物质形态属性的计量单位（如：吨、立方米）计算的能源消费量；能源消费标准量是按照能源标准计量单位（如：吨标准煤）计算的能源消费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能源消费量的统计原则：</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（1）谁消费、谁统计。即不论其所有权的归属，由哪个单位消费，就由哪个单位统计其消费量。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（2）何时投入使用，何时计算消费量。企业的能源消费，在时间、工艺界限上，以投入第一道生产工序为标志，即投入第一道生产工序即计算消费；何时投入第一道生产工序，何时计算消费量。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（3）在计算企业（单位）的综合能源消费量时，不得重复计算，要扣除二次能源的产出量和余热、余能的回收利用量。</w:t>
      </w:r>
    </w:p>
    <w:p>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（4）耗能工质（如水、氧气、压缩空气等），不论是外购的还是自产自用的，均不统计在能源消费量中（计算单位产品能耗时是否包括耗能工质，视统计指标的具体规定而定）。</w:t>
      </w:r>
    </w:p>
    <w:p>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bCs/>
          <w:color w:val="auto"/>
          <w:szCs w:val="24"/>
          <w:highlight w:val="none"/>
        </w:rPr>
        <w:t>（5）企业自产的能源，作为企业生产另一种产品的原料或燃料，是否计算消费量，视以下两种情况而定：一是自产的能源如果计算产量，消费时则计算消费量，二是自产的能源如果不计算产量，消费时则不计算消费量，视同产品生产过程中的半成品和中间产品。原则是：计算产量，则计算消费；不计算产量，则不计算消费。</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规模以上工业企业及重点能耗企业综合能源消费量</w:t>
      </w:r>
      <w:r>
        <w:rPr>
          <w:rFonts w:ascii="Times New Roman" w:hAnsi="Times New Roman"/>
          <w:bCs/>
          <w:color w:val="auto"/>
          <w:szCs w:val="24"/>
          <w:highlight w:val="none"/>
        </w:rPr>
        <w:t>是指调查单位在报告期内生产经营活动过程中实际消费的各种能源（扣除能源加工转换和能源回收利用等重复因素）的总和。</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工业企业能源消费量</w:t>
      </w:r>
      <w:r>
        <w:rPr>
          <w:rFonts w:ascii="Times New Roman" w:hAnsi="Times New Roman"/>
          <w:bCs/>
          <w:color w:val="auto"/>
          <w:szCs w:val="24"/>
          <w:highlight w:val="none"/>
        </w:rPr>
        <w:t>是指工业企业在工业生产活动中消费的能源，包括工业生产活动中作为燃料、动力、原料、辅助材料使用的能源，生产工艺中使用的能源，用于能源加工转换的能源。具体包括：</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（1）用于本企业产品生产、工业性作业和其他生产性活动的能源；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（2）用于技术更新改造措施、新技术研究和新产品试制以及科学试验等方面的能源；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（3）用于经营维修、建筑及设备大修理、机电设备和交通运输工具等方面的能源；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（4）用于劳动保护的能源；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（5）生产交通运输工具的企业（如造船厂、汽车制造厂），向成品轮船、汽车中添加动力用油，应算作企业的能源消费，但不作为工业生产消费，应作为非工业生产消费和交通运输工具消费；</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（6）其他非生产消费的能源。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不包括：</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（1）由仓库发到车间，但在报告期最后一天没有消费的能源。这部分能源应在办理假退料手续后计入库存量；</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（2）拨到外单位，委托外单位加工用的能源；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（3）调出本单位或借给外单位的能源。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非工业企业能源消费量</w:t>
      </w:r>
      <w:r>
        <w:rPr>
          <w:rFonts w:ascii="Times New Roman" w:hAnsi="Times New Roman"/>
          <w:bCs/>
          <w:color w:val="auto"/>
          <w:szCs w:val="24"/>
          <w:highlight w:val="none"/>
        </w:rPr>
        <w:t>指不是工业企业的法人单位所消费的各种能源，具体指建筑业和第三产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计算综合能源消费量时，需要将各种能源品种的消费量换算成按照标准计量单位（如：标准煤）计量的消费量。不同法人单位的计算方法如下：</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（1）工业企业综合能源消费量的填报见国家统计局一套表中《能源购进、消费与库存》（205-1表）。</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（2）非工业企业法人单位的能源消费合计=∑（某能源品种的消费量×某能源品种的折标准煤系数）。</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非工业重点耗能单位的能源消费合计（吨标准煤）=电力消费量（千瓦时）×0.1229/1000+煤炭消费量（吨）×0.7143+焦炭消费量（吨）×0.9714+煤气消费量（立方米）×0.5714/1000+</w:t>
      </w:r>
      <w:r>
        <w:rPr>
          <w:rFonts w:hint="eastAsia" w:ascii="Times New Roman" w:hAnsi="Times New Roman"/>
          <w:bCs/>
          <w:color w:val="auto"/>
          <w:szCs w:val="24"/>
          <w:highlight w:val="none"/>
          <w:lang w:eastAsia="zh-CN"/>
        </w:rPr>
        <w:t>天然气</w:t>
      </w:r>
      <w:r>
        <w:rPr>
          <w:rFonts w:ascii="Times New Roman" w:hAnsi="Times New Roman"/>
          <w:bCs/>
          <w:color w:val="auto"/>
          <w:szCs w:val="24"/>
          <w:highlight w:val="none"/>
        </w:rPr>
        <w:t>消费量（立方米）×1.33/1000+液化石油气消费量（吨）×1.7143+汽油消费量（吨）×1.4714+煤油消费量（吨）×1.4714+柴油消费量（吨）×1.4571+燃料油消费量（吨）×1.4286+外购热力消费量（百万千焦）×0.0341。计算时，各品种的计量单位必须与上述公式中的计量单位保持一致。部分能源品种换算关系如下：汽油1升=0.73千克=0.00073吨，轻柴油1升=0.86千克=0.00086吨，重柴油1升=0.92千克=0.00092吨，煤油1升=0.82千克=0.00082吨，燃料油1升=0.91千克=0.00091吨。</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若企业有以上类型之外的能源消费，请与当地统计部门联系确定其计量单位和折标准煤系数。</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规模以上工业企业及重点能耗企业综合能源消费量指标，仅由规上工业企业以及年综合能源消费量1万吨标准煤及以上的重点耗能单位填报。填报时可根据规上工业企业及重点能耗企业填报的国家统计局能源报表抄报。</w:t>
      </w:r>
    </w:p>
    <w:p>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创业风险投资机构</w:t>
      </w:r>
      <w:r>
        <w:rPr>
          <w:rFonts w:ascii="Times New Roman" w:hAnsi="Times New Roman"/>
          <w:bCs/>
          <w:color w:val="auto"/>
          <w:szCs w:val="24"/>
          <w:highlight w:val="none"/>
        </w:rPr>
        <w:t>也可称为“创业风险投资基金”，为主要从事创业投资业务的投资性机构。创业风险投资机构是指通过向处于创建和重建过程中的未</w:t>
      </w:r>
      <w:r>
        <w:rPr>
          <w:color w:val="auto"/>
          <w:highlight w:val="none"/>
        </w:rPr>
        <w:fldChar w:fldCharType="begin"/>
      </w:r>
      <w:r>
        <w:rPr>
          <w:color w:val="auto"/>
          <w:highlight w:val="none"/>
        </w:rPr>
        <w:instrText xml:space="preserve"> HYPERLINK "http://baike.baidu.com/view/4598759.htm" </w:instrText>
      </w:r>
      <w:r>
        <w:rPr>
          <w:color w:val="auto"/>
          <w:highlight w:val="none"/>
        </w:rPr>
        <w:fldChar w:fldCharType="separate"/>
      </w:r>
      <w:r>
        <w:rPr>
          <w:rFonts w:ascii="Times New Roman" w:hAnsi="Times New Roman"/>
          <w:bCs/>
          <w:color w:val="auto"/>
          <w:szCs w:val="24"/>
          <w:highlight w:val="none"/>
        </w:rPr>
        <w:t>上市企业</w:t>
      </w:r>
      <w:r>
        <w:rPr>
          <w:rFonts w:ascii="Times New Roman" w:hAnsi="Times New Roman"/>
          <w:bCs/>
          <w:color w:val="auto"/>
          <w:szCs w:val="24"/>
          <w:highlight w:val="none"/>
        </w:rPr>
        <w:fldChar w:fldCharType="end"/>
      </w:r>
      <w:r>
        <w:rPr>
          <w:rFonts w:ascii="Times New Roman" w:hAnsi="Times New Roman"/>
          <w:bCs/>
          <w:color w:val="auto"/>
          <w:szCs w:val="24"/>
          <w:highlight w:val="none"/>
        </w:rPr>
        <w:t>进行</w:t>
      </w:r>
      <w:r>
        <w:rPr>
          <w:color w:val="auto"/>
          <w:highlight w:val="none"/>
        </w:rPr>
        <w:fldChar w:fldCharType="begin"/>
      </w:r>
      <w:r>
        <w:rPr>
          <w:color w:val="auto"/>
          <w:highlight w:val="none"/>
        </w:rPr>
        <w:instrText xml:space="preserve"> HYPERLINK "http://baike.baidu.com/view/813066.htm" </w:instrText>
      </w:r>
      <w:r>
        <w:rPr>
          <w:color w:val="auto"/>
          <w:highlight w:val="none"/>
        </w:rPr>
        <w:fldChar w:fldCharType="separate"/>
      </w:r>
      <w:r>
        <w:rPr>
          <w:rFonts w:ascii="Times New Roman" w:hAnsi="Times New Roman"/>
          <w:bCs/>
          <w:color w:val="auto"/>
          <w:szCs w:val="24"/>
          <w:highlight w:val="none"/>
        </w:rPr>
        <w:t>股权投资</w:t>
      </w:r>
      <w:r>
        <w:rPr>
          <w:rFonts w:ascii="Times New Roman" w:hAnsi="Times New Roman"/>
          <w:bCs/>
          <w:color w:val="auto"/>
          <w:szCs w:val="24"/>
          <w:highlight w:val="none"/>
        </w:rPr>
        <w:fldChar w:fldCharType="end"/>
      </w:r>
      <w:r>
        <w:rPr>
          <w:rFonts w:ascii="Times New Roman" w:hAnsi="Times New Roman"/>
          <w:bCs/>
          <w:color w:val="auto"/>
          <w:szCs w:val="24"/>
          <w:highlight w:val="none"/>
        </w:rPr>
        <w:t>，并为其提供管理和经营服务，以期在企业发展成熟或相对成熟后，通过</w:t>
      </w:r>
      <w:r>
        <w:rPr>
          <w:color w:val="auto"/>
          <w:highlight w:val="none"/>
        </w:rPr>
        <w:fldChar w:fldCharType="begin"/>
      </w:r>
      <w:r>
        <w:rPr>
          <w:color w:val="auto"/>
          <w:highlight w:val="none"/>
        </w:rPr>
        <w:instrText xml:space="preserve"> HYPERLINK "http://baike.baidu.com/view/31950.htm" </w:instrText>
      </w:r>
      <w:r>
        <w:rPr>
          <w:color w:val="auto"/>
          <w:highlight w:val="none"/>
        </w:rPr>
        <w:fldChar w:fldCharType="separate"/>
      </w:r>
      <w:r>
        <w:rPr>
          <w:rFonts w:ascii="Times New Roman" w:hAnsi="Times New Roman"/>
          <w:bCs/>
          <w:color w:val="auto"/>
          <w:szCs w:val="24"/>
          <w:highlight w:val="none"/>
        </w:rPr>
        <w:t>股权转让</w:t>
      </w:r>
      <w:r>
        <w:rPr>
          <w:rFonts w:ascii="Times New Roman" w:hAnsi="Times New Roman"/>
          <w:bCs/>
          <w:color w:val="auto"/>
          <w:szCs w:val="24"/>
          <w:highlight w:val="none"/>
        </w:rPr>
        <w:fldChar w:fldCharType="end"/>
      </w:r>
      <w:r>
        <w:rPr>
          <w:rFonts w:ascii="Times New Roman" w:hAnsi="Times New Roman"/>
          <w:bCs/>
          <w:color w:val="auto"/>
          <w:szCs w:val="24"/>
          <w:highlight w:val="none"/>
        </w:rPr>
        <w:t>获取</w:t>
      </w:r>
      <w:r>
        <w:rPr>
          <w:color w:val="auto"/>
          <w:highlight w:val="none"/>
        </w:rPr>
        <w:fldChar w:fldCharType="begin"/>
      </w:r>
      <w:r>
        <w:rPr>
          <w:color w:val="auto"/>
          <w:highlight w:val="none"/>
        </w:rPr>
        <w:instrText xml:space="preserve"> HYPERLINK "http://baike.baidu.com/view/366366.htm" </w:instrText>
      </w:r>
      <w:r>
        <w:rPr>
          <w:color w:val="auto"/>
          <w:highlight w:val="none"/>
        </w:rPr>
        <w:fldChar w:fldCharType="separate"/>
      </w:r>
      <w:r>
        <w:rPr>
          <w:rFonts w:ascii="Times New Roman" w:hAnsi="Times New Roman"/>
          <w:bCs/>
          <w:color w:val="auto"/>
          <w:szCs w:val="24"/>
          <w:highlight w:val="none"/>
        </w:rPr>
        <w:t>资本增值收益</w:t>
      </w:r>
      <w:r>
        <w:rPr>
          <w:rFonts w:ascii="Times New Roman" w:hAnsi="Times New Roman"/>
          <w:bCs/>
          <w:color w:val="auto"/>
          <w:szCs w:val="24"/>
          <w:highlight w:val="none"/>
        </w:rPr>
        <w:fldChar w:fldCharType="end"/>
      </w:r>
      <w:r>
        <w:rPr>
          <w:rFonts w:ascii="Times New Roman" w:hAnsi="Times New Roman"/>
          <w:bCs/>
          <w:color w:val="auto"/>
          <w:szCs w:val="24"/>
          <w:highlight w:val="none"/>
        </w:rPr>
        <w:t>的投资机构。</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天使投资</w:t>
      </w:r>
      <w:r>
        <w:rPr>
          <w:rFonts w:ascii="Times New Roman" w:hAnsi="Times New Roman"/>
          <w:bCs/>
          <w:color w:val="auto"/>
          <w:highlight w:val="none"/>
        </w:rPr>
        <w:t>是指对已经起步但尚未完成基本产品模型、尚未验证商业模式的早期项目进行的投资，一般由个人出资协助具有专门技术或独特概念但缺少自有资金的创业家进行创业，并承担创业中的高风险和享受创业成功后的高收益，或由自由投资者或非正式风险投资机构对原创项目构思或小型初创企业进行一次性前期投资。天使投资是风险投资的一种特殊形式。</w:t>
      </w:r>
    </w:p>
    <w:p>
      <w:pPr>
        <w:adjustRightInd w:val="0"/>
        <w:snapToGrid w:val="0"/>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A轮融资</w:t>
      </w:r>
      <w:r>
        <w:rPr>
          <w:rFonts w:ascii="Times New Roman" w:hAnsi="Times New Roman" w:eastAsia="宋体"/>
          <w:bCs/>
          <w:color w:val="auto"/>
          <w:szCs w:val="21"/>
          <w:highlight w:val="none"/>
        </w:rPr>
        <w:t>主要</w:t>
      </w:r>
      <w:r>
        <w:rPr>
          <w:rFonts w:ascii="Times New Roman" w:hAnsi="Times New Roman"/>
          <w:bCs/>
          <w:color w:val="auto"/>
          <w:szCs w:val="21"/>
          <w:highlight w:val="none"/>
        </w:rPr>
        <w:t>是指对已具备基本产品模型的早中期项目进行的投资，一般由风险投资机构出资，在完善产品模型的基础上，满足商业模式验证的需求。</w:t>
      </w:r>
    </w:p>
    <w:p>
      <w:pPr>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B轮融资</w:t>
      </w:r>
      <w:r>
        <w:rPr>
          <w:rFonts w:ascii="Times New Roman" w:hAnsi="Times New Roman"/>
          <w:bCs/>
          <w:color w:val="auto"/>
          <w:highlight w:val="none"/>
        </w:rPr>
        <w:t>主要是指对商业模式已被充分验证，业务快速扩张的中期项目进行的投资，一般由风险投资机构或私募基金机构出资，以期迅速完成业务扩张。</w:t>
      </w:r>
    </w:p>
    <w:p>
      <w:pPr>
        <w:adjustRightInd w:val="0"/>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C轮融资</w:t>
      </w:r>
      <w:r>
        <w:rPr>
          <w:rFonts w:ascii="Times New Roman" w:hAnsi="Times New Roman"/>
          <w:bCs/>
          <w:color w:val="auto"/>
          <w:highlight w:val="none"/>
        </w:rPr>
        <w:t>主要是指对已形成规模化盈利能力，在行业内有主导或领导地位的中后期项目进行的投资，一般由私募基金机构出资，补全商业闭环，开始为上市做准备。</w:t>
      </w:r>
    </w:p>
    <w:p>
      <w:pPr>
        <w:pStyle w:val="9"/>
        <w:spacing w:after="0" w:line="400" w:lineRule="exact"/>
        <w:ind w:firstLine="420" w:firstLineChars="200"/>
        <w:rPr>
          <w:rFonts w:ascii="Times New Roman" w:hAnsi="Times New Roman"/>
          <w:color w:val="auto"/>
          <w:highlight w:val="none"/>
        </w:rPr>
      </w:pPr>
      <w:r>
        <w:rPr>
          <w:rFonts w:ascii="Times New Roman" w:hAnsi="Times New Roman" w:eastAsia="黑体"/>
          <w:color w:val="auto"/>
          <w:highlight w:val="none"/>
        </w:rPr>
        <w:t>当年获得创业风险投资机构的风险投资额</w:t>
      </w:r>
      <w:r>
        <w:rPr>
          <w:rFonts w:ascii="Times New Roman" w:hAnsi="Times New Roman"/>
          <w:color w:val="auto"/>
          <w:highlight w:val="none"/>
        </w:rPr>
        <w:t>填报报告期当年企业获得创业风险投资机构的投资额。</w:t>
      </w:r>
    </w:p>
    <w:p>
      <w:pPr>
        <w:pStyle w:val="4"/>
        <w:rPr>
          <w:rFonts w:ascii="Times New Roman" w:hAnsi="Times New Roman"/>
          <w:bCs w:val="0"/>
          <w:color w:val="auto"/>
          <w:sz w:val="28"/>
          <w:szCs w:val="28"/>
          <w:highlight w:val="none"/>
        </w:rPr>
      </w:pPr>
      <w:r>
        <w:rPr>
          <w:rFonts w:ascii="Times New Roman" w:hAnsi="Times New Roman"/>
          <w:b w:val="0"/>
          <w:color w:val="auto"/>
          <w:sz w:val="28"/>
          <w:szCs w:val="28"/>
          <w:highlight w:val="none"/>
        </w:rPr>
        <w:br w:type="page"/>
      </w:r>
      <w:bookmarkStart w:id="30" w:name="_Toc121734442"/>
      <w:r>
        <w:rPr>
          <w:rFonts w:ascii="Times New Roman" w:hAnsi="Times New Roman"/>
          <w:bCs w:val="0"/>
          <w:color w:val="auto"/>
          <w:sz w:val="28"/>
          <w:szCs w:val="28"/>
          <w:highlight w:val="none"/>
        </w:rPr>
        <w:t>人员概况</w:t>
      </w:r>
      <w:bookmarkEnd w:id="30"/>
    </w:p>
    <w:tbl>
      <w:tblPr>
        <w:tblStyle w:val="34"/>
        <w:tblW w:w="0" w:type="auto"/>
        <w:jc w:val="center"/>
        <w:tblLayout w:type="fixed"/>
        <w:tblCellMar>
          <w:top w:w="0" w:type="dxa"/>
          <w:left w:w="108" w:type="dxa"/>
          <w:bottom w:w="0" w:type="dxa"/>
          <w:right w:w="108" w:type="dxa"/>
        </w:tblCellMar>
      </w:tblPr>
      <w:tblGrid>
        <w:gridCol w:w="3329"/>
        <w:gridCol w:w="3165"/>
        <w:gridCol w:w="1035"/>
        <w:gridCol w:w="1946"/>
      </w:tblGrid>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035"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46"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ＧＱ－００３</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035"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46" w:type="dxa"/>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宋体" w:hAnsi="宋体"/>
                <w:bCs/>
                <w:color w:val="auto"/>
                <w:sz w:val="18"/>
                <w:szCs w:val="24"/>
                <w:highlight w:val="none"/>
              </w:rPr>
            </w:pPr>
          </w:p>
        </w:tc>
        <w:tc>
          <w:tcPr>
            <w:tcW w:w="1035"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46"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3" w:hRule="atLeast"/>
          <w:jc w:val="center"/>
        </w:trPr>
        <w:tc>
          <w:tcPr>
            <w:tcW w:w="6494" w:type="dxa"/>
            <w:gridSpan w:val="2"/>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35" w:type="dxa"/>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46" w:type="dxa"/>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3" w:hRule="atLeast"/>
          <w:jc w:val="center"/>
        </w:trPr>
        <w:tc>
          <w:tcPr>
            <w:tcW w:w="3329"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165" w:type="dxa"/>
            <w:noWrap w:val="0"/>
            <w:vAlign w:val="center"/>
          </w:tcPr>
          <w:p>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35"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46" w:type="dxa"/>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bl>
    <w:p>
      <w:pPr>
        <w:rPr>
          <w:rFonts w:ascii="Times New Roman" w:hAnsi="Times New Roman"/>
          <w:bCs/>
          <w:vanish/>
          <w:color w:val="auto"/>
          <w:szCs w:val="24"/>
          <w:highlight w:val="none"/>
        </w:rPr>
      </w:pPr>
    </w:p>
    <w:tbl>
      <w:tblPr>
        <w:tblStyle w:val="34"/>
        <w:tblpPr w:leftFromText="180" w:rightFromText="180" w:vertAnchor="text" w:horzAnchor="margin" w:tblpXSpec="center" w:tblpY="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8"/>
        <w:gridCol w:w="1418"/>
        <w:gridCol w:w="1275"/>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8" w:space="0"/>
              <w:left w:val="nil"/>
              <w:bottom w:val="single" w:color="auto" w:sz="2" w:space="0"/>
              <w:right w:val="single" w:color="auto" w:sz="4" w:space="0"/>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指标名称</w:t>
            </w:r>
          </w:p>
        </w:tc>
        <w:tc>
          <w:tcPr>
            <w:tcW w:w="1418"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sz w:val="18"/>
                <w:szCs w:val="24"/>
                <w:highlight w:val="none"/>
              </w:rPr>
              <w:t>计量单位</w:t>
            </w:r>
          </w:p>
        </w:tc>
        <w:tc>
          <w:tcPr>
            <w:tcW w:w="1275"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代码</w:t>
            </w:r>
          </w:p>
        </w:tc>
        <w:tc>
          <w:tcPr>
            <w:tcW w:w="1509" w:type="dxa"/>
            <w:tcBorders>
              <w:top w:val="single" w:color="auto" w:sz="8" w:space="0"/>
              <w:left w:val="single" w:color="auto" w:sz="4" w:space="0"/>
              <w:bottom w:val="single" w:color="auto" w:sz="2"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2" w:space="0"/>
              <w:left w:val="nil"/>
              <w:bottom w:val="single" w:color="auto" w:sz="4" w:space="0"/>
              <w:right w:val="single" w:color="auto" w:sz="4" w:space="0"/>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甲</w:t>
            </w:r>
          </w:p>
        </w:tc>
        <w:tc>
          <w:tcPr>
            <w:tcW w:w="1418"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sz w:val="18"/>
                <w:szCs w:val="24"/>
                <w:highlight w:val="none"/>
              </w:rPr>
              <w:t>乙</w:t>
            </w:r>
          </w:p>
        </w:tc>
        <w:tc>
          <w:tcPr>
            <w:tcW w:w="1275"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丙</w:t>
            </w:r>
          </w:p>
        </w:tc>
        <w:tc>
          <w:tcPr>
            <w:tcW w:w="1509" w:type="dxa"/>
            <w:tcBorders>
              <w:top w:val="single" w:color="auto" w:sz="2"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left w:val="nil"/>
              <w:bottom w:val="single" w:color="auto" w:sz="4" w:space="0"/>
              <w:right w:val="single" w:color="auto" w:sz="4" w:space="0"/>
            </w:tcBorders>
            <w:noWrap w:val="0"/>
            <w:vAlign w:val="center"/>
          </w:tcPr>
          <w:p>
            <w:pPr>
              <w:adjustRightInd w:val="0"/>
              <w:snapToGrid w:val="0"/>
              <w:spacing w:line="280" w:lineRule="exact"/>
              <w:jc w:val="both"/>
              <w:rPr>
                <w:rFonts w:ascii="Times New Roman" w:hAnsi="Times New Roman"/>
                <w:b/>
                <w:color w:val="auto"/>
                <w:sz w:val="18"/>
                <w:szCs w:val="24"/>
                <w:highlight w:val="none"/>
              </w:rPr>
            </w:pPr>
            <w:r>
              <w:rPr>
                <w:rFonts w:ascii="Times New Roman" w:hAnsi="Times New Roman"/>
                <w:b/>
                <w:color w:val="auto"/>
                <w:sz w:val="18"/>
                <w:szCs w:val="24"/>
                <w:highlight w:val="none"/>
              </w:rPr>
              <w:t>一、从业人员数</w:t>
            </w:r>
          </w:p>
        </w:tc>
        <w:tc>
          <w:tcPr>
            <w:tcW w:w="1418"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275"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509" w:type="dxa"/>
            <w:tcBorders>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both"/>
              <w:rPr>
                <w:rFonts w:cs="Calibri"/>
                <w:bCs/>
                <w:color w:val="auto"/>
                <w:sz w:val="18"/>
                <w:szCs w:val="24"/>
                <w:highlight w:val="none"/>
              </w:rPr>
            </w:pPr>
            <w:r>
              <w:rPr>
                <w:rFonts w:cs="Calibri"/>
                <w:bCs/>
                <w:color w:val="auto"/>
                <w:sz w:val="18"/>
                <w:szCs w:val="24"/>
                <w:highlight w:val="none"/>
              </w:rPr>
              <w:t>从业人员期末人数</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60" w:firstLineChars="200"/>
              <w:jc w:val="both"/>
              <w:rPr>
                <w:rFonts w:cs="Calibri"/>
                <w:bCs/>
                <w:color w:val="auto"/>
                <w:sz w:val="18"/>
                <w:szCs w:val="24"/>
                <w:highlight w:val="none"/>
              </w:rPr>
            </w:pPr>
            <w:r>
              <w:rPr>
                <w:rFonts w:cs="Calibri"/>
                <w:bCs/>
                <w:color w:val="auto"/>
                <w:sz w:val="18"/>
                <w:szCs w:val="24"/>
                <w:highlight w:val="none"/>
              </w:rPr>
              <w:t>其中：留学归国人员</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03≤</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QD03</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其中：外籍常住人员</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25</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其中：引进外籍专家</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21</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44" w:firstLineChars="200"/>
              <w:jc w:val="both"/>
              <w:rPr>
                <w:rFonts w:cs="Calibri"/>
                <w:bCs/>
                <w:color w:val="auto"/>
                <w:spacing w:val="-4"/>
                <w:sz w:val="18"/>
                <w:szCs w:val="24"/>
                <w:highlight w:val="none"/>
              </w:rPr>
            </w:pPr>
            <w:r>
              <w:rPr>
                <w:rFonts w:cs="Calibri"/>
                <w:bCs/>
                <w:color w:val="auto"/>
                <w:spacing w:val="-4"/>
                <w:sz w:val="18"/>
                <w:szCs w:val="24"/>
                <w:highlight w:val="none"/>
              </w:rPr>
              <w:t>其中：当年新增从业人员</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26</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01</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860" w:firstLineChars="500"/>
              <w:jc w:val="both"/>
              <w:rPr>
                <w:rFonts w:cs="Calibri"/>
                <w:bCs/>
                <w:color w:val="auto"/>
                <w:spacing w:val="-4"/>
                <w:sz w:val="18"/>
                <w:szCs w:val="24"/>
                <w:highlight w:val="none"/>
              </w:rPr>
            </w:pPr>
            <w:r>
              <w:rPr>
                <w:rFonts w:cs="Calibri"/>
                <w:bCs/>
                <w:color w:val="auto"/>
                <w:spacing w:val="-4"/>
                <w:sz w:val="18"/>
                <w:szCs w:val="24"/>
                <w:highlight w:val="none"/>
              </w:rPr>
              <w:t>其中：吸纳高校应届毕业生</w:t>
            </w:r>
            <w:r>
              <w:rPr>
                <w:rFonts w:hint="eastAsia" w:ascii="Times New Roman" w:hAnsi="Times New Roman" w:eastAsia="宋体" w:cs="Times New Roman"/>
                <w:bCs/>
                <w:color w:val="auto"/>
                <w:spacing w:val="0"/>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pacing w:val="0"/>
                <w:sz w:val="18"/>
                <w:szCs w:val="18"/>
                <w:highlight w:val="none"/>
              </w:rPr>
              <w:t>14</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26</w:t>
            </w:r>
            <w:r>
              <w:rPr>
                <w:rFonts w:hint="eastAsia" w:ascii="Times New Roman" w:hAnsi="Times New Roman" w:eastAsia="宋体" w:cs="Times New Roman"/>
                <w:bCs/>
                <w:color w:val="auto"/>
                <w:spacing w:val="0"/>
                <w:sz w:val="18"/>
                <w:szCs w:val="18"/>
                <w:highlight w:val="none"/>
              </w:rPr>
              <w:t>）</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QD14</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left="420" w:leftChars="200" w:firstLine="946" w:firstLineChars="550"/>
              <w:jc w:val="both"/>
              <w:rPr>
                <w:rFonts w:cs="Calibri"/>
                <w:bCs/>
                <w:color w:val="auto"/>
                <w:spacing w:val="-4"/>
                <w:sz w:val="18"/>
                <w:szCs w:val="24"/>
                <w:highlight w:val="none"/>
              </w:rPr>
            </w:pPr>
            <w:r>
              <w:rPr>
                <w:rFonts w:cs="Calibri"/>
                <w:bCs/>
                <w:color w:val="auto"/>
                <w:spacing w:val="-4"/>
                <w:sz w:val="18"/>
                <w:szCs w:val="24"/>
                <w:highlight w:val="none"/>
              </w:rPr>
              <w:t>其中：从事科研或科研辅助工作的应届毕业生</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QD14_0</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both"/>
              <w:rPr>
                <w:rFonts w:cs="Calibri"/>
                <w:bCs/>
                <w:color w:val="auto"/>
                <w:sz w:val="18"/>
                <w:szCs w:val="24"/>
                <w:highlight w:val="none"/>
              </w:rPr>
            </w:pPr>
            <w:r>
              <w:rPr>
                <w:rFonts w:cs="Calibri"/>
                <w:bCs/>
                <w:color w:val="auto"/>
                <w:sz w:val="18"/>
                <w:szCs w:val="24"/>
                <w:highlight w:val="none"/>
              </w:rPr>
              <w:t>从业人员年平均人数</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both"/>
              <w:rPr>
                <w:rFonts w:cs="Calibri"/>
                <w:b/>
                <w:color w:val="auto"/>
                <w:sz w:val="18"/>
                <w:szCs w:val="24"/>
                <w:highlight w:val="none"/>
              </w:rPr>
            </w:pPr>
            <w:r>
              <w:rPr>
                <w:rFonts w:cs="Calibri"/>
                <w:b/>
                <w:color w:val="auto"/>
                <w:sz w:val="18"/>
                <w:szCs w:val="24"/>
                <w:highlight w:val="none"/>
              </w:rPr>
              <w:t>二、从业人员构成</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
                <w:color w:val="auto"/>
                <w:kern w:val="0"/>
                <w:sz w:val="18"/>
                <w:szCs w:val="18"/>
                <w:highlight w:val="none"/>
              </w:rPr>
            </w:pPr>
            <w:r>
              <w:rPr>
                <w:rFonts w:cs="Calibri"/>
                <w:b/>
                <w:color w:val="auto"/>
                <w:sz w:val="18"/>
                <w:szCs w:val="24"/>
                <w:highlight w:val="none"/>
              </w:rPr>
              <w:t>（一）按学历、学</w:t>
            </w:r>
            <w:r>
              <w:rPr>
                <w:rFonts w:cs="Calibri"/>
                <w:b/>
                <w:bCs w:val="0"/>
                <w:color w:val="auto"/>
                <w:sz w:val="18"/>
                <w:szCs w:val="24"/>
                <w:highlight w:val="none"/>
              </w:rPr>
              <w:t>位及技能分</w:t>
            </w:r>
            <w:r>
              <w:rPr>
                <w:rFonts w:hint="eastAsia" w:ascii="Times New Roman" w:hAnsi="Times New Roman" w:eastAsia="宋体" w:cs="Times New Roman"/>
                <w:b/>
                <w:bCs w:val="0"/>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18+</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08+</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09≤</w:t>
            </w:r>
            <w:r>
              <w:rPr>
                <w:rFonts w:cs="Calibri"/>
                <w:bCs/>
                <w:color w:val="auto"/>
                <w:sz w:val="18"/>
                <w:szCs w:val="24"/>
                <w:highlight w:val="none"/>
              </w:rPr>
              <w:t>QD</w:t>
            </w:r>
            <w:r>
              <w:rPr>
                <w:rFonts w:hint="eastAsia" w:ascii="Times New Roman" w:hAnsi="Times New Roman" w:eastAsia="宋体" w:cs="Times New Roman"/>
                <w:b/>
                <w:bCs w:val="0"/>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具有研究生学历（位）人员</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06+</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07≤</w:t>
            </w:r>
            <w:r>
              <w:rPr>
                <w:rFonts w:cs="Calibri"/>
                <w:bCs/>
                <w:color w:val="auto"/>
                <w:sz w:val="18"/>
                <w:szCs w:val="24"/>
                <w:highlight w:val="none"/>
              </w:rPr>
              <w:t>QD</w:t>
            </w:r>
            <w:r>
              <w:rPr>
                <w:rFonts w:hint="eastAsia" w:ascii="Times New Roman" w:hAnsi="Times New Roman" w:eastAsia="宋体" w:cs="Times New Roman"/>
                <w:bCs/>
                <w:color w:val="auto"/>
                <w:sz w:val="18"/>
                <w:szCs w:val="18"/>
                <w:highlight w:val="none"/>
              </w:rPr>
              <w:t>18）</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QD18</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60" w:firstLineChars="200"/>
              <w:rPr>
                <w:rFonts w:cs="Calibri"/>
                <w:bCs/>
                <w:color w:val="auto"/>
                <w:sz w:val="18"/>
                <w:szCs w:val="24"/>
                <w:highlight w:val="none"/>
              </w:rPr>
            </w:pPr>
            <w:r>
              <w:rPr>
                <w:rFonts w:cs="Calibri"/>
                <w:bCs/>
                <w:color w:val="auto"/>
                <w:sz w:val="18"/>
                <w:szCs w:val="24"/>
                <w:highlight w:val="none"/>
              </w:rPr>
              <w:t>其中：</w:t>
            </w:r>
            <w:r>
              <w:rPr>
                <w:rFonts w:cs="Calibri"/>
                <w:bCs/>
                <w:color w:val="auto"/>
                <w:spacing w:val="-4"/>
                <w:sz w:val="18"/>
                <w:szCs w:val="24"/>
                <w:highlight w:val="none"/>
              </w:rPr>
              <w:t>博士</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sz w:val="18"/>
                <w:szCs w:val="24"/>
                <w:highlight w:val="none"/>
              </w:rPr>
              <w:t>硕士</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QD07</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具有大学本科学历（位）人员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QD08</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具有大学专科学历人员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QD09</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kern w:val="0"/>
                <w:sz w:val="18"/>
                <w:szCs w:val="18"/>
                <w:highlight w:val="none"/>
              </w:rPr>
              <w:t>技能人员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QD31</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360" w:firstLineChars="200"/>
              <w:rPr>
                <w:rFonts w:cs="Calibri"/>
                <w:bCs/>
                <w:color w:val="auto"/>
                <w:sz w:val="18"/>
                <w:szCs w:val="24"/>
                <w:highlight w:val="none"/>
              </w:rPr>
            </w:pPr>
            <w:r>
              <w:rPr>
                <w:rFonts w:cs="Calibri"/>
                <w:bCs/>
                <w:color w:val="auto"/>
                <w:kern w:val="0"/>
                <w:sz w:val="18"/>
                <w:szCs w:val="18"/>
                <w:highlight w:val="none"/>
              </w:rPr>
              <w:t>其中：高级</w:t>
            </w:r>
            <w:r>
              <w:rPr>
                <w:rFonts w:cs="Calibri"/>
                <w:bCs/>
                <w:color w:val="auto"/>
                <w:sz w:val="18"/>
                <w:szCs w:val="24"/>
                <w:highlight w:val="none"/>
              </w:rPr>
              <w:t>技师</w:t>
            </w:r>
            <w:r>
              <w:rPr>
                <w:rFonts w:cs="Calibri"/>
                <w:bCs/>
                <w:color w:val="auto"/>
                <w:kern w:val="0"/>
                <w:sz w:val="18"/>
                <w:szCs w:val="18"/>
                <w:highlight w:val="none"/>
              </w:rPr>
              <w:t>（国家职业资格一级）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QD32</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技师（国家职业资格二级）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QD33</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高级技能</w:t>
            </w:r>
            <w:r>
              <w:rPr>
                <w:rFonts w:cs="Calibri"/>
                <w:bCs/>
                <w:color w:val="auto"/>
                <w:sz w:val="18"/>
                <w:szCs w:val="24"/>
                <w:highlight w:val="none"/>
              </w:rPr>
              <w:t>人员</w:t>
            </w:r>
            <w:r>
              <w:rPr>
                <w:rFonts w:cs="Calibri"/>
                <w:bCs/>
                <w:color w:val="auto"/>
                <w:kern w:val="0"/>
                <w:sz w:val="18"/>
                <w:szCs w:val="18"/>
                <w:highlight w:val="none"/>
              </w:rPr>
              <w:t>（国家职业资格三级）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QD34</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中级技能</w:t>
            </w:r>
            <w:r>
              <w:rPr>
                <w:rFonts w:cs="Calibri"/>
                <w:bCs/>
                <w:color w:val="auto"/>
                <w:sz w:val="18"/>
                <w:szCs w:val="24"/>
                <w:highlight w:val="none"/>
              </w:rPr>
              <w:t>人员</w:t>
            </w:r>
            <w:r>
              <w:rPr>
                <w:rFonts w:cs="Calibri"/>
                <w:bCs/>
                <w:color w:val="auto"/>
                <w:kern w:val="0"/>
                <w:sz w:val="18"/>
                <w:szCs w:val="18"/>
                <w:highlight w:val="none"/>
              </w:rPr>
              <w:t>（国家职业资格四级）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QD35</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ind w:firstLine="900" w:firstLineChars="500"/>
              <w:rPr>
                <w:rFonts w:cs="Calibri"/>
                <w:bCs/>
                <w:color w:val="auto"/>
                <w:sz w:val="18"/>
                <w:szCs w:val="24"/>
                <w:highlight w:val="none"/>
              </w:rPr>
            </w:pPr>
            <w:r>
              <w:rPr>
                <w:rFonts w:cs="Calibri"/>
                <w:bCs/>
                <w:color w:val="auto"/>
                <w:kern w:val="0"/>
                <w:sz w:val="18"/>
                <w:szCs w:val="18"/>
                <w:highlight w:val="none"/>
              </w:rPr>
              <w:t>初级技能</w:t>
            </w:r>
            <w:r>
              <w:rPr>
                <w:rFonts w:cs="Calibri"/>
                <w:bCs/>
                <w:color w:val="auto"/>
                <w:sz w:val="18"/>
                <w:szCs w:val="24"/>
                <w:highlight w:val="none"/>
              </w:rPr>
              <w:t>人员</w:t>
            </w:r>
            <w:r>
              <w:rPr>
                <w:rFonts w:cs="Calibri"/>
                <w:bCs/>
                <w:color w:val="auto"/>
                <w:kern w:val="0"/>
                <w:sz w:val="18"/>
                <w:szCs w:val="18"/>
                <w:highlight w:val="none"/>
              </w:rPr>
              <w:t>（国家职业资格五级）</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QD36</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
                <w:color w:val="auto"/>
                <w:sz w:val="18"/>
                <w:szCs w:val="24"/>
                <w:highlight w:val="none"/>
              </w:rPr>
            </w:pPr>
            <w:r>
              <w:rPr>
                <w:rFonts w:cs="Calibri"/>
                <w:b/>
                <w:color w:val="auto"/>
                <w:sz w:val="18"/>
                <w:szCs w:val="24"/>
                <w:highlight w:val="none"/>
              </w:rPr>
              <w:t>（二）按职业类型分</w:t>
            </w:r>
            <w:r>
              <w:rPr>
                <w:rFonts w:hint="eastAsia" w:ascii="Times New Roman" w:hAnsi="Times New Roman" w:eastAsia="宋体" w:cs="Times New Roman"/>
                <w:b/>
                <w:color w:val="auto"/>
                <w:sz w:val="18"/>
                <w:szCs w:val="18"/>
                <w:highlight w:val="none"/>
              </w:rPr>
              <w:t>（</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27+</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28≤</w:t>
            </w:r>
            <w:r>
              <w:rPr>
                <w:rFonts w:cs="Calibri"/>
                <w:bCs/>
                <w:color w:val="auto"/>
                <w:sz w:val="18"/>
                <w:szCs w:val="24"/>
                <w:highlight w:val="none"/>
              </w:rPr>
              <w:t>QD</w:t>
            </w:r>
            <w:r>
              <w:rPr>
                <w:rFonts w:hint="eastAsia" w:ascii="Times New Roman" w:hAnsi="Times New Roman" w:eastAsia="宋体" w:cs="Times New Roman"/>
                <w:b/>
                <w:color w:val="auto"/>
                <w:sz w:val="18"/>
                <w:szCs w:val="18"/>
                <w:highlight w:val="none"/>
              </w:rPr>
              <w:t>01）</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kern w:val="0"/>
                <w:sz w:val="18"/>
                <w:szCs w:val="18"/>
                <w:highlight w:val="none"/>
              </w:rPr>
              <w:t>—</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r>
              <w:rPr>
                <w:rFonts w:ascii="Times New Roman" w:hAnsi="Times New Roman"/>
                <w:bCs/>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sz w:val="18"/>
                <w:szCs w:val="24"/>
                <w:highlight w:val="none"/>
              </w:rPr>
              <w:t>中层及以上管理人员</w:t>
            </w:r>
          </w:p>
        </w:tc>
        <w:tc>
          <w:tcPr>
            <w:tcW w:w="1418"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QD27</w:t>
            </w:r>
          </w:p>
        </w:tc>
        <w:tc>
          <w:tcPr>
            <w:tcW w:w="1509" w:type="dxa"/>
            <w:tcBorders>
              <w:top w:val="single" w:color="auto" w:sz="4" w:space="0"/>
              <w:left w:val="single" w:color="auto" w:sz="4" w:space="0"/>
              <w:bottom w:val="single" w:color="auto" w:sz="4"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78" w:type="dxa"/>
            <w:tcBorders>
              <w:top w:val="single" w:color="auto" w:sz="4" w:space="0"/>
              <w:left w:val="nil"/>
              <w:bottom w:val="single" w:color="auto" w:sz="8" w:space="0"/>
              <w:right w:val="single" w:color="auto" w:sz="4" w:space="0"/>
            </w:tcBorders>
            <w:noWrap w:val="0"/>
            <w:vAlign w:val="center"/>
          </w:tcPr>
          <w:p>
            <w:pPr>
              <w:adjustRightInd w:val="0"/>
              <w:snapToGrid w:val="0"/>
              <w:spacing w:line="280" w:lineRule="exact"/>
              <w:rPr>
                <w:rFonts w:cs="Calibri"/>
                <w:bCs/>
                <w:color w:val="auto"/>
                <w:sz w:val="18"/>
                <w:szCs w:val="24"/>
                <w:highlight w:val="none"/>
              </w:rPr>
            </w:pPr>
            <w:r>
              <w:rPr>
                <w:rFonts w:cs="Calibri"/>
                <w:bCs/>
                <w:color w:val="auto"/>
                <w:sz w:val="18"/>
                <w:szCs w:val="24"/>
                <w:highlight w:val="none"/>
              </w:rPr>
              <w:t>专业技术人员</w:t>
            </w:r>
          </w:p>
        </w:tc>
        <w:tc>
          <w:tcPr>
            <w:tcW w:w="1418" w:type="dxa"/>
            <w:tcBorders>
              <w:top w:val="single" w:color="auto" w:sz="4" w:space="0"/>
              <w:left w:val="single" w:color="auto" w:sz="4" w:space="0"/>
              <w:bottom w:val="single" w:color="auto" w:sz="8" w:space="0"/>
              <w:right w:val="nil"/>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人</w:t>
            </w:r>
          </w:p>
        </w:tc>
        <w:tc>
          <w:tcPr>
            <w:tcW w:w="1275"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280" w:lineRule="exact"/>
              <w:jc w:val="center"/>
              <w:rPr>
                <w:rFonts w:cs="Calibri"/>
                <w:bCs/>
                <w:color w:val="auto"/>
                <w:sz w:val="18"/>
                <w:szCs w:val="24"/>
                <w:highlight w:val="none"/>
              </w:rPr>
            </w:pPr>
            <w:r>
              <w:rPr>
                <w:rFonts w:cs="Calibri"/>
                <w:bCs/>
                <w:color w:val="auto"/>
                <w:sz w:val="18"/>
                <w:szCs w:val="24"/>
                <w:highlight w:val="none"/>
              </w:rPr>
              <w:t>QD28</w:t>
            </w:r>
          </w:p>
        </w:tc>
        <w:tc>
          <w:tcPr>
            <w:tcW w:w="1509" w:type="dxa"/>
            <w:tcBorders>
              <w:top w:val="single" w:color="auto" w:sz="4" w:space="0"/>
              <w:left w:val="single" w:color="auto" w:sz="4" w:space="0"/>
              <w:bottom w:val="single" w:color="auto" w:sz="8" w:space="0"/>
              <w:right w:val="nil"/>
            </w:tcBorders>
            <w:noWrap w:val="0"/>
            <w:vAlign w:val="center"/>
          </w:tcPr>
          <w:p>
            <w:pPr>
              <w:adjustRightInd w:val="0"/>
              <w:snapToGrid w:val="0"/>
              <w:spacing w:line="280" w:lineRule="exact"/>
              <w:jc w:val="center"/>
              <w:rPr>
                <w:rFonts w:ascii="Times New Roman" w:hAnsi="Times New Roman"/>
                <w:bCs/>
                <w:color w:val="auto"/>
                <w:sz w:val="18"/>
                <w:szCs w:val="24"/>
                <w:highlight w:val="none"/>
              </w:rPr>
            </w:pPr>
          </w:p>
        </w:tc>
      </w:tr>
    </w:tbl>
    <w:p>
      <w:pPr>
        <w:spacing w:line="24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360" w:lineRule="exact"/>
        <w:ind w:left="720" w:hanging="720" w:hangingChars="400"/>
        <w:rPr>
          <w:rFonts w:ascii="Times New Roman" w:hAnsi="Times New Roman"/>
          <w:bCs/>
          <w:color w:val="auto"/>
          <w:sz w:val="18"/>
          <w:szCs w:val="24"/>
          <w:highlight w:val="none"/>
        </w:rPr>
      </w:pPr>
    </w:p>
    <w:p>
      <w:pPr>
        <w:spacing w:line="360" w:lineRule="exact"/>
        <w:ind w:left="720" w:hanging="720" w:hangingChars="400"/>
        <w:rPr>
          <w:rFonts w:ascii="Times New Roman" w:hAnsi="Times New Roman"/>
          <w:bCs/>
          <w:color w:val="auto"/>
          <w:sz w:val="18"/>
          <w:szCs w:val="24"/>
          <w:highlight w:val="none"/>
        </w:rPr>
      </w:pPr>
      <w:r>
        <w:rPr>
          <w:rFonts w:ascii="Times New Roman" w:hAnsi="Times New Roman"/>
          <w:bCs/>
          <w:color w:val="auto"/>
          <w:sz w:val="18"/>
          <w:szCs w:val="24"/>
          <w:highlight w:val="none"/>
        </w:rPr>
        <w:t>说明：审核关系</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pacing w:val="0"/>
          <w:sz w:val="18"/>
          <w:szCs w:val="18"/>
          <w:highlight w:val="none"/>
        </w:rPr>
      </w:pPr>
      <w:r>
        <w:rPr>
          <w:rFonts w:hint="eastAsia" w:ascii="Times New Roman" w:hAnsi="Times New Roman" w:eastAsia="宋体" w:cs="Times New Roman"/>
          <w:bCs/>
          <w:color w:val="auto"/>
          <w:sz w:val="18"/>
          <w:szCs w:val="18"/>
          <w:highlight w:val="none"/>
        </w:rPr>
        <w:t>（1）QD03≤QD01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（2）QD25≤QD01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（3）</w:t>
      </w:r>
      <w:r>
        <w:rPr>
          <w:rFonts w:hint="eastAsia" w:ascii="Times New Roman" w:hAnsi="Times New Roman" w:eastAsia="宋体" w:cs="Times New Roman"/>
          <w:bCs/>
          <w:color w:val="auto"/>
          <w:spacing w:val="0"/>
          <w:sz w:val="18"/>
          <w:szCs w:val="18"/>
          <w:highlight w:val="none"/>
        </w:rPr>
        <w:t>QD21≤QD01</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pacing w:val="0"/>
          <w:sz w:val="18"/>
          <w:szCs w:val="18"/>
          <w:highlight w:val="none"/>
        </w:rPr>
        <w:t>（4）QD26</w:t>
      </w:r>
      <w:r>
        <w:rPr>
          <w:rFonts w:hint="eastAsia" w:ascii="Times New Roman" w:hAnsi="Times New Roman" w:eastAsia="宋体" w:cs="Times New Roman"/>
          <w:bCs/>
          <w:color w:val="auto"/>
          <w:sz w:val="18"/>
          <w:szCs w:val="18"/>
          <w:highlight w:val="none"/>
        </w:rPr>
        <w:t>≤QD01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（5）QD14≤</w:t>
      </w:r>
      <w:r>
        <w:rPr>
          <w:rFonts w:hint="eastAsia" w:ascii="Times New Roman" w:hAnsi="Times New Roman" w:eastAsia="宋体" w:cs="Times New Roman"/>
          <w:bCs/>
          <w:color w:val="auto"/>
          <w:spacing w:val="0"/>
          <w:sz w:val="18"/>
          <w:szCs w:val="18"/>
          <w:highlight w:val="none"/>
        </w:rPr>
        <w:t>QD26</w:t>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ab/>
      </w:r>
      <w:r>
        <w:rPr>
          <w:rFonts w:hint="eastAsia" w:ascii="Times New Roman" w:hAnsi="Times New Roman" w:eastAsia="宋体" w:cs="Times New Roman"/>
          <w:bCs/>
          <w:color w:val="auto"/>
          <w:spacing w:val="0"/>
          <w:sz w:val="18"/>
          <w:szCs w:val="18"/>
          <w:highlight w:val="none"/>
        </w:rPr>
        <w:t>（6）</w:t>
      </w:r>
      <w:r>
        <w:rPr>
          <w:rFonts w:hint="eastAsia" w:ascii="Times New Roman" w:hAnsi="Times New Roman" w:eastAsia="宋体" w:cs="Times New Roman"/>
          <w:bCs/>
          <w:color w:val="auto"/>
          <w:sz w:val="18"/>
          <w:szCs w:val="18"/>
          <w:highlight w:val="none"/>
        </w:rPr>
        <w:t>QD18+QD08+QD09≤QD01</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（7）QD06+QD07≤QD18</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（8）QD30</w:t>
      </w:r>
      <w:r>
        <w:rPr>
          <w:rFonts w:hint="eastAsia" w:ascii="Times New Roman" w:hAnsi="Times New Roman" w:eastAsia="宋体" w:cs="Times New Roman"/>
          <w:bCs/>
          <w:color w:val="auto"/>
          <w:spacing w:val="0"/>
          <w:sz w:val="18"/>
          <w:szCs w:val="18"/>
          <w:highlight w:val="none"/>
        </w:rPr>
        <w:t>≤</w:t>
      </w:r>
      <w:r>
        <w:rPr>
          <w:rFonts w:hint="eastAsia" w:ascii="Times New Roman" w:hAnsi="Times New Roman" w:eastAsia="宋体" w:cs="Times New Roman"/>
          <w:bCs/>
          <w:color w:val="auto"/>
          <w:sz w:val="18"/>
          <w:szCs w:val="18"/>
          <w:highlight w:val="none"/>
        </w:rPr>
        <w:t>QD01</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 xml:space="preserve">     （9）</w:t>
      </w:r>
      <w:r>
        <w:rPr>
          <w:rFonts w:ascii="Times New Roman" w:hAnsi="Times New Roman" w:eastAsia="宋体" w:cs="Calibri"/>
          <w:bCs/>
          <w:color w:val="auto"/>
          <w:sz w:val="18"/>
          <w:szCs w:val="24"/>
          <w:highlight w:val="none"/>
        </w:rPr>
        <w:t>QD14_0≤</w:t>
      </w:r>
      <w:r>
        <w:rPr>
          <w:rFonts w:ascii="Times New Roman" w:hAnsi="Times New Roman" w:eastAsia="宋体" w:cs="Calibri"/>
          <w:bCs/>
          <w:color w:val="auto"/>
          <w:spacing w:val="0"/>
          <w:sz w:val="18"/>
          <w:szCs w:val="24"/>
          <w:highlight w:val="none"/>
        </w:rPr>
        <w:t>QD14</w:t>
      </w:r>
    </w:p>
    <w:p>
      <w:pPr>
        <w:adjustRightInd w:val="0"/>
        <w:snapToGrid w:val="0"/>
        <w:spacing w:line="280" w:lineRule="exact"/>
        <w:ind w:left="0" w:leftChars="0" w:firstLine="540" w:firstLineChars="300"/>
        <w:jc w:val="left"/>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sz w:val="18"/>
          <w:szCs w:val="18"/>
          <w:highlight w:val="none"/>
        </w:rPr>
        <w:t>（10）QD31=QD32+QD33+QD34+QD35+QD36</w:t>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rPr>
        <w:tab/>
      </w:r>
      <w:r>
        <w:rPr>
          <w:rFonts w:hint="eastAsia" w:ascii="Times New Roman" w:hAnsi="Times New Roman" w:eastAsia="宋体" w:cs="Times New Roman"/>
          <w:bCs/>
          <w:color w:val="auto"/>
          <w:sz w:val="18"/>
          <w:szCs w:val="18"/>
          <w:highlight w:val="none"/>
          <w:lang w:val="en-US" w:eastAsia="zh-CN"/>
        </w:rPr>
        <w:t xml:space="preserve">    </w:t>
      </w:r>
      <w:r>
        <w:rPr>
          <w:rFonts w:hint="eastAsia" w:ascii="Times New Roman" w:hAnsi="Times New Roman" w:eastAsia="宋体" w:cs="Times New Roman"/>
          <w:bCs/>
          <w:color w:val="auto"/>
          <w:sz w:val="18"/>
          <w:szCs w:val="18"/>
          <w:highlight w:val="none"/>
        </w:rPr>
        <w:t xml:space="preserve"> （11）QD27+QD28≤QD01</w:t>
      </w:r>
    </w:p>
    <w:p>
      <w:pPr>
        <w:tabs>
          <w:tab w:val="left" w:pos="753"/>
        </w:tabs>
        <w:snapToGrid w:val="0"/>
        <w:spacing w:line="320" w:lineRule="exact"/>
        <w:ind w:left="0" w:leftChars="0" w:firstLine="0" w:firstLineChars="0"/>
        <w:jc w:val="center"/>
        <w:rPr>
          <w:rFonts w:ascii="Times New Roman" w:hAnsi="Times New Roman"/>
          <w:b/>
          <w:color w:val="auto"/>
          <w:sz w:val="32"/>
          <w:szCs w:val="32"/>
          <w:highlight w:val="none"/>
        </w:rPr>
      </w:pPr>
      <w:r>
        <w:rPr>
          <w:rFonts w:cs="Calibri"/>
          <w:bCs/>
          <w:color w:val="auto"/>
          <w:spacing w:val="-8"/>
          <w:sz w:val="18"/>
          <w:szCs w:val="18"/>
          <w:highlight w:val="none"/>
        </w:rPr>
        <w:br w:type="page"/>
      </w:r>
      <w:r>
        <w:rPr>
          <w:rFonts w:hint="eastAsia" w:ascii="黑体" w:hAnsi="黑体" w:eastAsia="黑体" w:cs="黑体"/>
          <w:b w:val="0"/>
          <w:bCs/>
          <w:color w:val="auto"/>
          <w:kern w:val="0"/>
          <w:sz w:val="32"/>
          <w:szCs w:val="32"/>
          <w:highlight w:val="none"/>
        </w:rPr>
        <w:t>指标解释</w:t>
      </w:r>
    </w:p>
    <w:p>
      <w:pPr>
        <w:spacing w:line="400" w:lineRule="exact"/>
        <w:rPr>
          <w:rFonts w:ascii="Times New Roman" w:hAnsi="Times New Roman"/>
          <w:bCs/>
          <w:color w:val="auto"/>
          <w:highlight w:val="none"/>
        </w:rPr>
      </w:pPr>
    </w:p>
    <w:p>
      <w:pPr>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从业人员期末人数</w:t>
      </w:r>
      <w:r>
        <w:rPr>
          <w:rFonts w:hint="eastAsia" w:ascii="Times New Roman" w:hAnsi="Times New Roman"/>
          <w:bCs/>
          <w:color w:val="auto"/>
          <w:highlight w:val="none"/>
        </w:rPr>
        <w:t>指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pPr>
        <w:spacing w:line="360" w:lineRule="exact"/>
        <w:ind w:firstLine="420" w:firstLineChars="200"/>
        <w:rPr>
          <w:rFonts w:ascii="宋体" w:hAnsi="宋体"/>
          <w:color w:val="auto"/>
          <w:szCs w:val="21"/>
          <w:highlight w:val="none"/>
        </w:rPr>
      </w:pPr>
      <w:r>
        <w:rPr>
          <w:rFonts w:hint="eastAsia" w:ascii="黑体" w:hAnsi="宋体" w:eastAsia="黑体"/>
          <w:color w:val="auto"/>
          <w:szCs w:val="21"/>
          <w:highlight w:val="none"/>
        </w:rPr>
        <w:t>在岗职工</w:t>
      </w:r>
      <w:r>
        <w:rPr>
          <w:rFonts w:hint="eastAsia" w:ascii="宋体" w:hAnsi="宋体"/>
          <w:color w:val="auto"/>
          <w:szCs w:val="21"/>
          <w:highlight w:val="none"/>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1.应订立劳动合同而未订立劳动合同人员；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2.处于试用期人员；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3.编制外招用的人员，如临时人员；</w:t>
      </w:r>
    </w:p>
    <w:p>
      <w:pPr>
        <w:spacing w:line="400" w:lineRule="exact"/>
        <w:ind w:firstLine="420" w:firstLineChars="200"/>
        <w:rPr>
          <w:rFonts w:ascii="Times New Roman" w:hAnsi="Times New Roman"/>
          <w:bCs/>
          <w:color w:val="auto"/>
          <w:szCs w:val="21"/>
          <w:highlight w:val="none"/>
        </w:rPr>
      </w:pPr>
      <w:r>
        <w:rPr>
          <w:rFonts w:hint="eastAsia" w:ascii="宋体" w:hAnsi="宋体"/>
          <w:color w:val="auto"/>
          <w:szCs w:val="21"/>
          <w:highlight w:val="none"/>
        </w:rPr>
        <w:t>4.派往外单位工作，但工资或其他形式劳动报酬仍由本单位发放的人员</w:t>
      </w:r>
      <w:r>
        <w:rPr>
          <w:rFonts w:hint="eastAsia" w:ascii="宋体" w:hAnsi="宋体"/>
          <w:bCs/>
          <w:color w:val="auto"/>
          <w:szCs w:val="21"/>
          <w:highlight w:val="none"/>
        </w:rPr>
        <w:t>（如挂职锻炼、外派工作等情况）</w:t>
      </w:r>
      <w:r>
        <w:rPr>
          <w:rFonts w:hint="eastAsia" w:ascii="宋体" w:hAnsi="宋体"/>
          <w:color w:val="auto"/>
          <w:szCs w:val="21"/>
          <w:highlight w:val="none"/>
        </w:rPr>
        <w:t>。</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在岗职工不包括：</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（1）本单位使用的且由本单位直接支付工资的劳务派遣人员，应统计在本单位“劳务派遣人员”中；</w:t>
      </w:r>
    </w:p>
    <w:p>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（2）本单位以劳务外包形式使用的人员，由承包劳务的单位统计为在岗职工。</w:t>
      </w:r>
    </w:p>
    <w:p>
      <w:pPr>
        <w:spacing w:line="360" w:lineRule="exact"/>
        <w:ind w:firstLine="420" w:firstLineChars="200"/>
        <w:rPr>
          <w:rFonts w:hint="eastAsia" w:ascii="宋体" w:hAnsi="宋体"/>
          <w:b/>
          <w:bCs/>
          <w:color w:val="auto"/>
          <w:szCs w:val="21"/>
          <w:highlight w:val="none"/>
        </w:rPr>
      </w:pPr>
      <w:r>
        <w:rPr>
          <w:rFonts w:hint="eastAsia" w:ascii="黑体" w:hAnsi="宋体" w:eastAsia="黑体"/>
          <w:color w:val="auto"/>
          <w:szCs w:val="21"/>
          <w:highlight w:val="none"/>
        </w:rPr>
        <w:t>劳务派遣人员</w:t>
      </w:r>
      <w:r>
        <w:rPr>
          <w:rFonts w:hint="eastAsia" w:ascii="仿宋_GB2312" w:eastAsia="仿宋_GB2312"/>
          <w:color w:val="auto"/>
          <w:szCs w:val="21"/>
          <w:highlight w:val="none"/>
        </w:rPr>
        <w:t xml:space="preserve">  </w:t>
      </w:r>
      <w:r>
        <w:rPr>
          <w:rFonts w:hint="eastAsia" w:ascii="宋体" w:hAnsi="宋体"/>
          <w:color w:val="auto"/>
          <w:szCs w:val="21"/>
          <w:highlight w:val="none"/>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劳务派遣人员</w:t>
      </w:r>
      <w:r>
        <w:rPr>
          <w:rFonts w:hint="eastAsia" w:ascii="宋体" w:hAnsi="宋体"/>
          <w:color w:val="auto"/>
          <w:szCs w:val="21"/>
          <w:highlight w:val="none"/>
        </w:rPr>
        <w:t>由实际用工单位</w:t>
      </w:r>
      <w:r>
        <w:rPr>
          <w:rFonts w:hint="eastAsia" w:ascii="宋体" w:hAnsi="宋体"/>
          <w:color w:val="auto"/>
          <w:szCs w:val="21"/>
          <w:highlight w:val="none"/>
          <w:lang w:eastAsia="zh-CN"/>
        </w:rPr>
        <w:t>统计为劳务派遣人员，</w:t>
      </w:r>
      <w:r>
        <w:rPr>
          <w:rFonts w:hint="eastAsia" w:ascii="宋体" w:hAnsi="宋体"/>
          <w:color w:val="auto"/>
          <w:szCs w:val="21"/>
          <w:highlight w:val="none"/>
        </w:rPr>
        <w:t>劳务派遣单位（派出单位）不</w:t>
      </w:r>
      <w:r>
        <w:rPr>
          <w:rFonts w:hint="eastAsia" w:ascii="宋体" w:hAnsi="宋体"/>
          <w:color w:val="auto"/>
          <w:szCs w:val="21"/>
          <w:highlight w:val="none"/>
          <w:lang w:eastAsia="zh-CN"/>
        </w:rPr>
        <w:t>进行统计</w:t>
      </w:r>
      <w:r>
        <w:rPr>
          <w:rFonts w:hint="eastAsia"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劳务外包人员由承包劳务的法人单位统计为在岗职工</w:t>
      </w:r>
      <w:r>
        <w:rPr>
          <w:rFonts w:hint="eastAsia" w:ascii="宋体" w:hAnsi="宋体"/>
          <w:color w:val="auto"/>
          <w:szCs w:val="21"/>
          <w:highlight w:val="none"/>
          <w:lang w:eastAsia="zh-CN"/>
        </w:rPr>
        <w:t>，实际用工单位不进行统计</w:t>
      </w:r>
      <w:r>
        <w:rPr>
          <w:rFonts w:hint="eastAsia" w:ascii="宋体" w:hAnsi="宋体"/>
          <w:color w:val="auto"/>
          <w:szCs w:val="21"/>
          <w:highlight w:val="none"/>
        </w:rPr>
        <w:t>。如承包劳务的是个体经营户或自然人，均不包括在本制度统计范围内。</w:t>
      </w:r>
    </w:p>
    <w:p>
      <w:pPr>
        <w:spacing w:line="400" w:lineRule="exact"/>
        <w:ind w:firstLine="420" w:firstLineChars="200"/>
        <w:rPr>
          <w:bCs/>
          <w:color w:val="auto"/>
          <w:szCs w:val="21"/>
          <w:highlight w:val="none"/>
        </w:rPr>
      </w:pPr>
      <w:r>
        <w:rPr>
          <w:rFonts w:ascii="Times New Roman" w:hAnsi="Times New Roman" w:eastAsia="黑体"/>
          <w:bCs/>
          <w:color w:val="auto"/>
          <w:szCs w:val="21"/>
          <w:highlight w:val="none"/>
        </w:rPr>
        <w:t>其他从业人员</w:t>
      </w:r>
      <w:r>
        <w:rPr>
          <w:rFonts w:hint="eastAsia"/>
          <w:bCs/>
          <w:color w:val="auto"/>
          <w:szCs w:val="21"/>
          <w:highlight w:val="none"/>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留学归国人员</w:t>
      </w:r>
      <w:r>
        <w:rPr>
          <w:rFonts w:ascii="Times New Roman" w:hAnsi="Times New Roman"/>
          <w:bCs/>
          <w:color w:val="auto"/>
          <w:szCs w:val="21"/>
          <w:highlight w:val="none"/>
        </w:rPr>
        <w:t>指从业人员中出国学习、取得学位的归国人员。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外籍常住人员</w:t>
      </w:r>
      <w:r>
        <w:rPr>
          <w:rFonts w:ascii="Times New Roman" w:hAnsi="Times New Roman"/>
          <w:bCs/>
          <w:color w:val="auto"/>
          <w:szCs w:val="21"/>
          <w:highlight w:val="none"/>
        </w:rPr>
        <w:t>指企业从业人员中在大陆连续居住半年以上的外籍人员数。</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引进外籍专家</w:t>
      </w:r>
      <w:r>
        <w:rPr>
          <w:rFonts w:ascii="Times New Roman" w:hAnsi="Times New Roman"/>
          <w:bCs/>
          <w:color w:val="auto"/>
          <w:szCs w:val="21"/>
          <w:highlight w:val="none"/>
        </w:rPr>
        <w:t>指企业引进的在企业从事专业技术、管理、教学、科研等工作的外籍专业技术人员，可以是掌握领先技术的高端专家、企业高管，也可以是有专门技能的专业技术人员。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当年新增从业人员</w:t>
      </w:r>
      <w:r>
        <w:rPr>
          <w:rFonts w:ascii="Times New Roman" w:hAnsi="Times New Roman"/>
          <w:bCs/>
          <w:color w:val="auto"/>
          <w:szCs w:val="21"/>
          <w:highlight w:val="none"/>
        </w:rPr>
        <w:t>指报告期内企业新增录用的从业人员。</w:t>
      </w:r>
    </w:p>
    <w:p>
      <w:pPr>
        <w:spacing w:line="400" w:lineRule="exact"/>
        <w:ind w:firstLine="420" w:firstLineChars="200"/>
        <w:rPr>
          <w:bCs/>
          <w:color w:val="auto"/>
          <w:szCs w:val="21"/>
          <w:highlight w:val="none"/>
        </w:rPr>
      </w:pPr>
      <w:r>
        <w:rPr>
          <w:rFonts w:ascii="Times New Roman" w:hAnsi="Times New Roman" w:eastAsia="黑体"/>
          <w:bCs/>
          <w:color w:val="auto"/>
          <w:szCs w:val="21"/>
          <w:highlight w:val="none"/>
        </w:rPr>
        <w:t>当年吸纳高校应届毕业生</w:t>
      </w:r>
      <w:r>
        <w:rPr>
          <w:rFonts w:hint="eastAsia"/>
          <w:bCs/>
          <w:color w:val="auto"/>
          <w:szCs w:val="21"/>
          <w:highlight w:val="none"/>
        </w:rPr>
        <w:t>指报告期内企业当年在境内各类高校毕业生中招收的应届毕业生（包含国家承认的大专学历学生）。</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从事科研或科研辅助工作的应届毕业生</w:t>
      </w:r>
      <w:r>
        <w:rPr>
          <w:rFonts w:ascii="Times New Roman" w:hAnsi="Times New Roman"/>
          <w:bCs/>
          <w:color w:val="auto"/>
          <w:szCs w:val="21"/>
          <w:highlight w:val="none"/>
        </w:rPr>
        <w:t>指报告期内企业当年吸纳高校应届毕业生中主要从事科研或科研辅助工作的职工人数。</w:t>
      </w:r>
    </w:p>
    <w:p>
      <w:pPr>
        <w:spacing w:line="400" w:lineRule="exact"/>
        <w:ind w:firstLine="420" w:firstLineChars="200"/>
        <w:rPr>
          <w:rFonts w:hint="eastAsia" w:ascii="Times New Roman" w:hAnsi="Times New Roman"/>
          <w:bCs/>
          <w:color w:val="auto"/>
          <w:szCs w:val="21"/>
          <w:highlight w:val="none"/>
        </w:rPr>
      </w:pPr>
      <w:r>
        <w:rPr>
          <w:rFonts w:ascii="Times New Roman" w:hAnsi="Times New Roman" w:eastAsia="黑体"/>
          <w:bCs/>
          <w:color w:val="auto"/>
          <w:szCs w:val="21"/>
          <w:highlight w:val="none"/>
        </w:rPr>
        <w:t>从业人员平均人数</w:t>
      </w:r>
      <w:r>
        <w:rPr>
          <w:rFonts w:hint="eastAsia" w:ascii="Times New Roman" w:hAnsi="Times New Roman"/>
          <w:bCs/>
          <w:color w:val="auto"/>
          <w:szCs w:val="21"/>
          <w:highlight w:val="none"/>
        </w:rPr>
        <w:t>指月度或年度平均拥有的从业人员数。年度平均人数按单位实际月平均人数计算得到，不得用期末人数替代。</w:t>
      </w:r>
    </w:p>
    <w:p>
      <w:pPr>
        <w:spacing w:line="400" w:lineRule="exact"/>
        <w:ind w:firstLine="420" w:firstLineChars="200"/>
        <w:rPr>
          <w:rFonts w:hint="eastAsia" w:ascii="Times New Roman" w:hAnsi="Times New Roman"/>
          <w:bCs/>
          <w:color w:val="auto"/>
          <w:szCs w:val="21"/>
          <w:highlight w:val="none"/>
        </w:rPr>
      </w:pPr>
      <w:r>
        <w:rPr>
          <w:rFonts w:hint="eastAsia" w:ascii="宋体" w:hAnsi="宋体"/>
          <w:color w:val="auto"/>
          <w:szCs w:val="21"/>
          <w:highlight w:val="none"/>
        </w:rPr>
        <w:t>1.</w:t>
      </w:r>
      <w:r>
        <w:rPr>
          <w:rFonts w:hint="eastAsia" w:ascii="Times New Roman" w:hAnsi="Times New Roman"/>
          <w:bCs/>
          <w:color w:val="auto"/>
          <w:szCs w:val="21"/>
          <w:highlight w:val="none"/>
        </w:rPr>
        <w:t>月平均人数是以报告月内每天实有的全部人数之和，除以报告月的日历日数。计算公式为：</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月平均人数=报告月内每天实有的全部人数之和/ 报告月的日历日数</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对人员增减变动很小的单位，其月平均人数也可以用月初人数与月末人数之和除以2求得。计算公式为：</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月平均人数= (月初人数+月末人数) / 2</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在计算月平均人数时应注意：</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（1）公休日与节假日的人数应按放假前最后一个工作日的人数计算。</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（2）对新建立不满整月的单位（月中或月末建立），在计算报告月的平均人数时，应以其建立后各天实有人数之和，除以整月天数求得，而不能除以该单位建立的天数。</w:t>
      </w:r>
    </w:p>
    <w:p>
      <w:pPr>
        <w:spacing w:line="400" w:lineRule="exact"/>
        <w:ind w:firstLine="420" w:firstLineChars="200"/>
        <w:rPr>
          <w:rFonts w:hint="eastAsia" w:ascii="Times New Roman" w:hAnsi="Times New Roman"/>
          <w:bCs/>
          <w:color w:val="auto"/>
          <w:szCs w:val="21"/>
          <w:highlight w:val="none"/>
        </w:rPr>
      </w:pPr>
      <w:r>
        <w:rPr>
          <w:rFonts w:hint="eastAsia" w:ascii="宋体" w:hAnsi="宋体"/>
          <w:color w:val="auto"/>
          <w:szCs w:val="21"/>
          <w:highlight w:val="none"/>
        </w:rPr>
        <w:t>2.</w:t>
      </w:r>
      <w:r>
        <w:rPr>
          <w:rFonts w:hint="eastAsia" w:ascii="Times New Roman" w:hAnsi="Times New Roman"/>
          <w:bCs/>
          <w:color w:val="auto"/>
          <w:szCs w:val="21"/>
          <w:highlight w:val="none"/>
        </w:rPr>
        <w:t>年平均人数是以12个月的平均人数之和除以12求得。计算公式为：</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年平均人数=报告年内12个月平均人数之和/12</w:t>
      </w:r>
    </w:p>
    <w:p>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在年内新成立的单位年平均人数计算方法为：从实际开工之月起到年底的月平均人数相加除以12个月。计算公式为：</w:t>
      </w:r>
    </w:p>
    <w:p>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年平均人数=(开工之月平均人数+…+12月平均人数)/12</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具有研究生学历（位）人员</w:t>
      </w:r>
      <w:bookmarkStart w:id="31" w:name="_Hlk121747336"/>
      <w:r>
        <w:rPr>
          <w:rFonts w:ascii="Times New Roman" w:hAnsi="Times New Roman"/>
          <w:bCs/>
          <w:color w:val="auto"/>
          <w:szCs w:val="21"/>
          <w:highlight w:val="none"/>
        </w:rPr>
        <w:t>指接受的最高一级教育为研究生教育并取得毕业证书或获得硕士、博士学位证书的人员，不包括肄业、结业、在读或辍学人员。</w:t>
      </w:r>
      <w:bookmarkEnd w:id="31"/>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具有大学本科学历（位）人员</w:t>
      </w:r>
      <w:r>
        <w:rPr>
          <w:rFonts w:ascii="Times New Roman" w:hAnsi="Times New Roman"/>
          <w:bCs/>
          <w:color w:val="auto"/>
          <w:szCs w:val="21"/>
          <w:highlight w:val="none"/>
        </w:rPr>
        <w:t>指接受的最高一级教育为大学本科教育并取得毕业证书或获得学士学位证书的人员，不包括肄业、结业、在读或辍学人员。</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具有大学专科学历人员</w:t>
      </w:r>
      <w:r>
        <w:rPr>
          <w:rFonts w:ascii="Times New Roman" w:hAnsi="Times New Roman"/>
          <w:bCs/>
          <w:color w:val="auto"/>
          <w:szCs w:val="21"/>
          <w:highlight w:val="none"/>
        </w:rPr>
        <w:t>指接受的最高一级教育为大学专科教育并取得毕业证书的人员，不包括肄业、结业、在读或辍学人员。</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技能人员</w:t>
      </w:r>
      <w:r>
        <w:rPr>
          <w:rFonts w:hint="eastAsia"/>
          <w:bCs/>
          <w:color w:val="auto"/>
          <w:szCs w:val="21"/>
          <w:highlight w:val="none"/>
        </w:rPr>
        <w:t>指在本单位管理岗位和专业技术岗位之外从事生产性或服务性工作，并持有国家职业资格证书的人员。在管理岗位和专业技术岗位工作的，无论是否持有国家职业资格证书，均不统计为技能人员。国家职业资格证书包括国家职业资格证书一级、二级、三级、四级、五级，同一个人持有两个及以上国家职业资格证书的，按最高等级证书认定。</w:t>
      </w:r>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高级技师（国家职业资格一级）</w:t>
      </w:r>
      <w:r>
        <w:rPr>
          <w:rFonts w:ascii="Times New Roman" w:hAnsi="Times New Roman"/>
          <w:bCs/>
          <w:color w:val="auto"/>
          <w:szCs w:val="21"/>
          <w:highlight w:val="none"/>
        </w:rPr>
        <w:t>指持有一级《国家职业资格证书》的人员。</w:t>
      </w:r>
    </w:p>
    <w:p>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技师（国家职业资格二级）</w:t>
      </w:r>
      <w:r>
        <w:rPr>
          <w:rFonts w:ascii="Times New Roman" w:hAnsi="Times New Roman"/>
          <w:bCs/>
          <w:color w:val="auto"/>
          <w:szCs w:val="21"/>
          <w:highlight w:val="none"/>
        </w:rPr>
        <w:t>指持有二级《国家职业资格证书》的人员。</w:t>
      </w:r>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高级技能人员（国家职业资格三级）</w:t>
      </w:r>
      <w:r>
        <w:rPr>
          <w:rFonts w:ascii="Times New Roman" w:hAnsi="Times New Roman"/>
          <w:bCs/>
          <w:color w:val="auto"/>
          <w:szCs w:val="21"/>
          <w:highlight w:val="none"/>
        </w:rPr>
        <w:t>指持有三级《国家职业资格证书》的人员。</w:t>
      </w:r>
    </w:p>
    <w:p>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中级技能人员（国家职业资格四级）</w:t>
      </w:r>
      <w:r>
        <w:rPr>
          <w:rFonts w:ascii="Times New Roman" w:hAnsi="Times New Roman"/>
          <w:bCs/>
          <w:color w:val="auto"/>
          <w:szCs w:val="21"/>
          <w:highlight w:val="none"/>
        </w:rPr>
        <w:t>指持有四级《国家职业资格证书》的人员。</w:t>
      </w:r>
    </w:p>
    <w:p>
      <w:pPr>
        <w:spacing w:line="400" w:lineRule="exact"/>
        <w:ind w:firstLine="420" w:firstLineChars="200"/>
        <w:jc w:val="left"/>
        <w:rPr>
          <w:rFonts w:ascii="Times New Roman" w:hAnsi="Times New Roman" w:eastAsia="黑体"/>
          <w:bCs/>
          <w:color w:val="auto"/>
          <w:szCs w:val="21"/>
          <w:highlight w:val="none"/>
        </w:rPr>
      </w:pPr>
      <w:r>
        <w:rPr>
          <w:rFonts w:ascii="Times New Roman" w:hAnsi="Times New Roman" w:eastAsia="黑体"/>
          <w:bCs/>
          <w:color w:val="auto"/>
          <w:szCs w:val="21"/>
          <w:highlight w:val="none"/>
        </w:rPr>
        <w:t>初级技能人员（国家职业资格五级）</w:t>
      </w:r>
      <w:r>
        <w:rPr>
          <w:rFonts w:ascii="Times New Roman" w:hAnsi="Times New Roman"/>
          <w:bCs/>
          <w:color w:val="auto"/>
          <w:szCs w:val="21"/>
          <w:highlight w:val="none"/>
        </w:rPr>
        <w:t>指持有五级《国家职业资格证书》的人员</w:t>
      </w:r>
      <w:r>
        <w:rPr>
          <w:rFonts w:ascii="Times New Roman" w:hAnsi="Times New Roman" w:eastAsia="黑体"/>
          <w:bCs/>
          <w:color w:val="auto"/>
          <w:szCs w:val="21"/>
          <w:highlight w:val="none"/>
        </w:rPr>
        <w:t>。</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中层及以上管理人员</w:t>
      </w:r>
      <w:r>
        <w:rPr>
          <w:rFonts w:hint="eastAsia" w:ascii="Times New Roman" w:hAnsi="Times New Roman"/>
          <w:bCs/>
          <w:color w:val="auto"/>
          <w:szCs w:val="21"/>
          <w:highlight w:val="none"/>
        </w:rPr>
        <w:t>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团体和群众团体、社会组织及其他成员组织负责人员、基层群众自治组织负责人员、企事业单位负责人员。</w:t>
      </w:r>
    </w:p>
    <w:p>
      <w:pPr>
        <w:spacing w:line="400" w:lineRule="exact"/>
        <w:ind w:firstLine="420" w:firstLineChars="200"/>
        <w:rPr>
          <w:rFonts w:ascii="Times New Roman" w:hAnsi="Times New Roman"/>
          <w:bCs/>
          <w:color w:val="auto"/>
          <w:kern w:val="0"/>
          <w:highlight w:val="none"/>
        </w:rPr>
      </w:pPr>
      <w:r>
        <w:rPr>
          <w:rFonts w:ascii="Times New Roman" w:hAnsi="Times New Roman" w:eastAsia="黑体"/>
          <w:bCs/>
          <w:color w:val="auto"/>
          <w:szCs w:val="21"/>
          <w:highlight w:val="none"/>
        </w:rPr>
        <w:t>专业技术人员</w:t>
      </w:r>
      <w:r>
        <w:rPr>
          <w:rFonts w:hint="eastAsia" w:ascii="Times New Roman" w:hAnsi="Times New Roman"/>
          <w:bCs/>
          <w:color w:val="auto"/>
          <w:szCs w:val="21"/>
          <w:highlight w:val="none"/>
        </w:rPr>
        <w:t>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w:t>
      </w:r>
    </w:p>
    <w:p>
      <w:pPr>
        <w:pStyle w:val="4"/>
        <w:spacing w:line="240" w:lineRule="auto"/>
        <w:rPr>
          <w:rFonts w:ascii="Times New Roman" w:hAnsi="Times New Roman"/>
          <w:bCs w:val="0"/>
          <w:color w:val="auto"/>
          <w:sz w:val="28"/>
          <w:szCs w:val="28"/>
          <w:highlight w:val="none"/>
        </w:rPr>
      </w:pPr>
      <w:r>
        <w:rPr>
          <w:rFonts w:ascii="Times New Roman" w:hAnsi="Times New Roman"/>
          <w:b w:val="0"/>
          <w:color w:val="auto"/>
          <w:sz w:val="28"/>
          <w:szCs w:val="28"/>
          <w:highlight w:val="none"/>
        </w:rPr>
        <w:br w:type="page"/>
      </w:r>
      <w:bookmarkStart w:id="32" w:name="_Toc121734443"/>
      <w:r>
        <w:rPr>
          <w:rFonts w:ascii="Times New Roman" w:hAnsi="Times New Roman"/>
          <w:bCs w:val="0"/>
          <w:color w:val="auto"/>
          <w:sz w:val="28"/>
          <w:szCs w:val="28"/>
          <w:highlight w:val="none"/>
        </w:rPr>
        <w:t>研究开发项目概况</w:t>
      </w:r>
      <w:bookmarkEnd w:id="32"/>
    </w:p>
    <w:tbl>
      <w:tblPr>
        <w:tblStyle w:val="34"/>
        <w:tblW w:w="0" w:type="auto"/>
        <w:jc w:val="center"/>
        <w:tblLayout w:type="fixed"/>
        <w:tblCellMar>
          <w:top w:w="0" w:type="dxa"/>
          <w:left w:w="108" w:type="dxa"/>
          <w:bottom w:w="0" w:type="dxa"/>
          <w:right w:w="108" w:type="dxa"/>
        </w:tblCellMar>
      </w:tblPr>
      <w:tblGrid>
        <w:gridCol w:w="3283"/>
        <w:gridCol w:w="3462"/>
        <w:gridCol w:w="1037"/>
        <w:gridCol w:w="1917"/>
      </w:tblGrid>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03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17"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ＧＱ－００４</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宋体" w:hAnsi="宋体"/>
                <w:bCs/>
                <w:color w:val="auto"/>
                <w:sz w:val="18"/>
                <w:szCs w:val="24"/>
                <w:highlight w:val="none"/>
              </w:rPr>
            </w:pPr>
          </w:p>
        </w:tc>
        <w:tc>
          <w:tcPr>
            <w:tcW w:w="103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17" w:type="dxa"/>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宋体" w:hAnsi="宋体"/>
                <w:bCs/>
                <w:color w:val="auto"/>
                <w:sz w:val="18"/>
                <w:szCs w:val="24"/>
                <w:highlight w:val="none"/>
              </w:rPr>
            </w:pPr>
          </w:p>
        </w:tc>
        <w:tc>
          <w:tcPr>
            <w:tcW w:w="103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17" w:type="dxa"/>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4" w:hRule="atLeast"/>
          <w:jc w:val="center"/>
        </w:trPr>
        <w:tc>
          <w:tcPr>
            <w:tcW w:w="6745" w:type="dxa"/>
            <w:gridSpan w:val="2"/>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037" w:type="dxa"/>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17" w:type="dxa"/>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4" w:hRule="atLeast"/>
          <w:jc w:val="center"/>
        </w:trPr>
        <w:tc>
          <w:tcPr>
            <w:tcW w:w="3283"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企业（单位）详细名称：</w:t>
            </w:r>
          </w:p>
        </w:tc>
        <w:tc>
          <w:tcPr>
            <w:tcW w:w="3462" w:type="dxa"/>
            <w:noWrap w:val="0"/>
            <w:vAlign w:val="center"/>
          </w:tcPr>
          <w:p>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037" w:type="dxa"/>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17" w:type="dxa"/>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bl>
    <w:p>
      <w:pPr>
        <w:rPr>
          <w:rFonts w:ascii="Times New Roman" w:hAnsi="Times New Roman"/>
          <w:bCs/>
          <w:vanish/>
          <w:color w:val="auto"/>
          <w:szCs w:val="24"/>
          <w:highlight w:val="none"/>
        </w:rPr>
      </w:pPr>
    </w:p>
    <w:tbl>
      <w:tblPr>
        <w:tblStyle w:val="34"/>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78"/>
        <w:gridCol w:w="656"/>
        <w:gridCol w:w="686"/>
        <w:gridCol w:w="704"/>
        <w:gridCol w:w="704"/>
        <w:gridCol w:w="656"/>
        <w:gridCol w:w="687"/>
        <w:gridCol w:w="687"/>
        <w:gridCol w:w="755"/>
        <w:gridCol w:w="701"/>
        <w:gridCol w:w="744"/>
        <w:gridCol w:w="658"/>
        <w:gridCol w:w="656"/>
        <w:gridCol w:w="82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序号</w:t>
            </w:r>
          </w:p>
        </w:tc>
        <w:tc>
          <w:tcPr>
            <w:tcW w:w="678"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项目名称</w:t>
            </w:r>
          </w:p>
        </w:tc>
        <w:tc>
          <w:tcPr>
            <w:tcW w:w="65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来源</w:t>
            </w:r>
          </w:p>
        </w:tc>
        <w:tc>
          <w:tcPr>
            <w:tcW w:w="68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项目开展形式</w:t>
            </w:r>
          </w:p>
        </w:tc>
        <w:tc>
          <w:tcPr>
            <w:tcW w:w="704"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项目当年成果形式</w:t>
            </w:r>
          </w:p>
        </w:tc>
        <w:tc>
          <w:tcPr>
            <w:tcW w:w="704"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项目技术经济目标</w:t>
            </w:r>
          </w:p>
        </w:tc>
        <w:tc>
          <w:tcPr>
            <w:tcW w:w="656"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活动</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类型</w:t>
            </w:r>
          </w:p>
        </w:tc>
        <w:tc>
          <w:tcPr>
            <w:tcW w:w="687" w:type="dxa"/>
            <w:vMerge w:val="restart"/>
            <w:tcBorders>
              <w:top w:val="single" w:color="auto" w:sz="8" w:space="0"/>
              <w:bottom w:val="single" w:color="auto" w:sz="4" w:space="0"/>
            </w:tcBorders>
            <w:noWrap w:val="0"/>
            <w:vAlign w:val="center"/>
          </w:tcPr>
          <w:p>
            <w:pPr>
              <w:widowControl/>
              <w:spacing w:line="280" w:lineRule="exact"/>
              <w:ind w:left="50" w:hanging="50" w:hangingChars="2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项目起始日期</w:t>
            </w:r>
          </w:p>
        </w:tc>
        <w:tc>
          <w:tcPr>
            <w:tcW w:w="687" w:type="dxa"/>
            <w:vMerge w:val="restart"/>
            <w:tcBorders>
              <w:top w:val="single" w:color="auto" w:sz="8" w:space="0"/>
              <w:bottom w:val="single" w:color="auto" w:sz="4" w:space="0"/>
            </w:tcBorders>
            <w:noWrap w:val="0"/>
            <w:vAlign w:val="center"/>
          </w:tcPr>
          <w:p>
            <w:pPr>
              <w:widowControl/>
              <w:spacing w:line="280" w:lineRule="exact"/>
              <w:ind w:left="50" w:hanging="50" w:hangingChars="2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项目完成日期</w:t>
            </w:r>
          </w:p>
        </w:tc>
        <w:tc>
          <w:tcPr>
            <w:tcW w:w="755"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跨年项目当年所处主要进展阶段</w:t>
            </w:r>
          </w:p>
        </w:tc>
        <w:tc>
          <w:tcPr>
            <w:tcW w:w="701" w:type="dxa"/>
            <w:vMerge w:val="restart"/>
            <w:tcBorders>
              <w:top w:val="single" w:color="auto" w:sz="8"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hint="default" w:ascii="Times New Roman" w:hAnsi="Times New Roman" w:eastAsia="宋体" w:cs="Times New Roman"/>
                <w:bCs/>
                <w:color w:val="auto"/>
                <w:kern w:val="0"/>
                <w:sz w:val="18"/>
                <w:szCs w:val="18"/>
                <w:highlight w:val="none"/>
              </w:rPr>
              <w:t>项目研究开发人员</w:t>
            </w:r>
            <w:r>
              <w:rPr>
                <w:rFonts w:ascii="Times New Roman" w:hAnsi="Times New Roman"/>
                <w:bCs/>
                <w:color w:val="auto"/>
                <w:kern w:val="0"/>
                <w:sz w:val="18"/>
                <w:szCs w:val="18"/>
                <w:highlight w:val="none"/>
              </w:rPr>
              <w:t>(人)</w:t>
            </w:r>
          </w:p>
        </w:tc>
        <w:tc>
          <w:tcPr>
            <w:tcW w:w="744" w:type="dxa"/>
            <w:vMerge w:val="restart"/>
            <w:tcBorders>
              <w:top w:val="single" w:color="auto" w:sz="8" w:space="0"/>
              <w:bottom w:val="single" w:color="auto" w:sz="4" w:space="0"/>
            </w:tcBorders>
            <w:noWrap w:val="0"/>
            <w:vAlign w:val="center"/>
          </w:tcPr>
          <w:p>
            <w:pPr>
              <w:widowControl/>
              <w:spacing w:line="280" w:lineRule="exact"/>
              <w:ind w:left="20" w:hanging="19" w:hangingChars="11"/>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项目人员实际工作时间(人月)</w:t>
            </w:r>
          </w:p>
        </w:tc>
        <w:tc>
          <w:tcPr>
            <w:tcW w:w="658" w:type="dxa"/>
            <w:vMerge w:val="restart"/>
            <w:tcBorders>
              <w:top w:val="single" w:color="auto" w:sz="8" w:space="0"/>
              <w:bottom w:val="single" w:color="auto" w:sz="4" w:space="0"/>
              <w:right w:val="nil"/>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项目</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经费</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支出</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(千元)</w:t>
            </w:r>
          </w:p>
        </w:tc>
        <w:tc>
          <w:tcPr>
            <w:tcW w:w="656" w:type="dxa"/>
            <w:tcBorders>
              <w:top w:val="single" w:color="auto" w:sz="8" w:space="0"/>
              <w:left w:val="nil"/>
              <w:bottom w:val="single" w:color="auto" w:sz="4" w:space="0"/>
              <w:right w:val="nil"/>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820" w:type="dxa"/>
            <w:tcBorders>
              <w:top w:val="single" w:color="auto" w:sz="8" w:space="0"/>
              <w:left w:val="nil"/>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78"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56" w:type="dxa"/>
            <w:vMerge w:val="continue"/>
            <w:tcBorders>
              <w:top w:val="single" w:color="auto" w:sz="4" w:space="0"/>
              <w:bottom w:val="single" w:color="auto" w:sz="4" w:space="0"/>
            </w:tcBorders>
            <w:noWrap w:val="0"/>
            <w:vAlign w:val="center"/>
          </w:tcPr>
          <w:p>
            <w:pPr>
              <w:widowControl/>
              <w:spacing w:line="280" w:lineRule="exact"/>
              <w:rPr>
                <w:rFonts w:ascii="Times New Roman" w:hAnsi="Times New Roman"/>
                <w:bCs/>
                <w:color w:val="auto"/>
                <w:kern w:val="0"/>
                <w:sz w:val="18"/>
                <w:szCs w:val="18"/>
                <w:highlight w:val="none"/>
              </w:rPr>
            </w:pPr>
          </w:p>
        </w:tc>
        <w:tc>
          <w:tcPr>
            <w:tcW w:w="686"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04"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04" w:type="dxa"/>
            <w:vMerge w:val="continue"/>
            <w:tcBorders>
              <w:top w:val="single" w:color="auto" w:sz="4" w:space="0"/>
              <w:bottom w:val="single" w:color="auto" w:sz="4" w:space="0"/>
            </w:tcBorders>
            <w:noWrap w:val="0"/>
            <w:vAlign w:val="center"/>
          </w:tcPr>
          <w:p>
            <w:pPr>
              <w:widowControl/>
              <w:spacing w:line="280" w:lineRule="exact"/>
              <w:ind w:firstLine="86" w:firstLineChars="48"/>
              <w:jc w:val="center"/>
              <w:rPr>
                <w:rFonts w:ascii="Times New Roman" w:hAnsi="Times New Roman"/>
                <w:bCs/>
                <w:color w:val="auto"/>
                <w:kern w:val="0"/>
                <w:sz w:val="18"/>
                <w:szCs w:val="18"/>
                <w:highlight w:val="none"/>
              </w:rPr>
            </w:pPr>
          </w:p>
        </w:tc>
        <w:tc>
          <w:tcPr>
            <w:tcW w:w="656"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87" w:type="dxa"/>
            <w:vMerge w:val="continue"/>
            <w:tcBorders>
              <w:top w:val="single" w:color="auto" w:sz="4" w:space="0"/>
              <w:bottom w:val="single" w:color="auto" w:sz="4" w:space="0"/>
            </w:tcBorders>
            <w:noWrap w:val="0"/>
            <w:vAlign w:val="center"/>
          </w:tcPr>
          <w:p>
            <w:pPr>
              <w:widowControl/>
              <w:spacing w:line="280" w:lineRule="exact"/>
              <w:ind w:left="50" w:hanging="50" w:hangingChars="28"/>
              <w:jc w:val="center"/>
              <w:rPr>
                <w:rFonts w:ascii="Times New Roman" w:hAnsi="Times New Roman"/>
                <w:bCs/>
                <w:color w:val="auto"/>
                <w:kern w:val="0"/>
                <w:sz w:val="18"/>
                <w:szCs w:val="18"/>
                <w:highlight w:val="none"/>
              </w:rPr>
            </w:pPr>
          </w:p>
        </w:tc>
        <w:tc>
          <w:tcPr>
            <w:tcW w:w="687" w:type="dxa"/>
            <w:vMerge w:val="continue"/>
            <w:tcBorders>
              <w:top w:val="single" w:color="auto" w:sz="4" w:space="0"/>
              <w:bottom w:val="single" w:color="auto" w:sz="4" w:space="0"/>
            </w:tcBorders>
            <w:noWrap w:val="0"/>
            <w:vAlign w:val="center"/>
          </w:tcPr>
          <w:p>
            <w:pPr>
              <w:widowControl/>
              <w:spacing w:line="280" w:lineRule="exact"/>
              <w:ind w:hanging="1"/>
              <w:jc w:val="center"/>
              <w:rPr>
                <w:rFonts w:ascii="Times New Roman" w:hAnsi="Times New Roman"/>
                <w:bCs/>
                <w:color w:val="auto"/>
                <w:kern w:val="0"/>
                <w:sz w:val="18"/>
                <w:szCs w:val="18"/>
                <w:highlight w:val="none"/>
              </w:rPr>
            </w:pPr>
          </w:p>
        </w:tc>
        <w:tc>
          <w:tcPr>
            <w:tcW w:w="755"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01" w:type="dxa"/>
            <w:vMerge w:val="continue"/>
            <w:tcBorders>
              <w:top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744" w:type="dxa"/>
            <w:vMerge w:val="continue"/>
            <w:tcBorders>
              <w:top w:val="single" w:color="auto" w:sz="4" w:space="0"/>
              <w:bottom w:val="single" w:color="auto" w:sz="4" w:space="0"/>
            </w:tcBorders>
            <w:noWrap w:val="0"/>
            <w:vAlign w:val="center"/>
          </w:tcPr>
          <w:p>
            <w:pPr>
              <w:widowControl/>
              <w:spacing w:line="280" w:lineRule="exact"/>
              <w:ind w:left="20" w:hanging="19" w:hangingChars="11"/>
              <w:jc w:val="center"/>
              <w:rPr>
                <w:rFonts w:ascii="Times New Roman" w:hAnsi="Times New Roman"/>
                <w:bCs/>
                <w:color w:val="auto"/>
                <w:kern w:val="0"/>
                <w:sz w:val="18"/>
                <w:szCs w:val="18"/>
                <w:highlight w:val="none"/>
              </w:rPr>
            </w:pPr>
          </w:p>
        </w:tc>
        <w:tc>
          <w:tcPr>
            <w:tcW w:w="658" w:type="dxa"/>
            <w:vMerge w:val="continue"/>
            <w:tcBorders>
              <w:top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c>
          <w:tcPr>
            <w:tcW w:w="656" w:type="dxa"/>
            <w:vMerge w:val="restart"/>
            <w:tcBorders>
              <w:top w:val="single" w:color="auto" w:sz="4" w:space="0"/>
              <w:left w:val="single" w:color="auto" w:sz="4" w:space="0"/>
              <w:right w:val="nil"/>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政府</w:t>
            </w:r>
          </w:p>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资金</w:t>
            </w:r>
          </w:p>
        </w:tc>
        <w:tc>
          <w:tcPr>
            <w:tcW w:w="820" w:type="dxa"/>
            <w:tcBorders>
              <w:top w:val="single" w:color="auto" w:sz="4" w:space="0"/>
              <w:left w:val="nil"/>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78"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5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8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04"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04"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56"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87"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87"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55"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01"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744" w:type="dxa"/>
            <w:vMerge w:val="continue"/>
            <w:tcBorders>
              <w:bottom w:val="single" w:color="auto" w:sz="4" w:space="0"/>
            </w:tcBorders>
            <w:noWrap w:val="0"/>
            <w:vAlign w:val="center"/>
          </w:tcPr>
          <w:p>
            <w:pPr>
              <w:widowControl/>
              <w:spacing w:line="280" w:lineRule="exact"/>
              <w:jc w:val="center"/>
              <w:rPr>
                <w:color w:val="auto"/>
                <w:highlight w:val="none"/>
              </w:rPr>
            </w:pPr>
          </w:p>
        </w:tc>
        <w:tc>
          <w:tcPr>
            <w:tcW w:w="658" w:type="dxa"/>
            <w:vMerge w:val="continue"/>
            <w:tcBorders>
              <w:bottom w:val="single" w:color="auto" w:sz="4" w:space="0"/>
              <w:right w:val="single" w:color="auto" w:sz="4" w:space="0"/>
            </w:tcBorders>
            <w:noWrap w:val="0"/>
            <w:vAlign w:val="center"/>
          </w:tcPr>
          <w:p>
            <w:pPr>
              <w:widowControl/>
              <w:spacing w:line="280" w:lineRule="exact"/>
              <w:jc w:val="center"/>
              <w:rPr>
                <w:color w:val="auto"/>
                <w:highlight w:val="none"/>
              </w:rPr>
            </w:pPr>
          </w:p>
        </w:tc>
        <w:tc>
          <w:tcPr>
            <w:tcW w:w="656" w:type="dxa"/>
            <w:vMerge w:val="continue"/>
            <w:tcBorders>
              <w:left w:val="single" w:color="auto" w:sz="4" w:space="0"/>
              <w:bottom w:val="single" w:color="auto" w:sz="4" w:space="0"/>
            </w:tcBorders>
            <w:noWrap w:val="0"/>
            <w:vAlign w:val="center"/>
          </w:tcPr>
          <w:p>
            <w:pPr>
              <w:widowControl/>
              <w:spacing w:line="280" w:lineRule="exact"/>
              <w:jc w:val="center"/>
              <w:rPr>
                <w:color w:val="auto"/>
                <w:highlight w:val="none"/>
              </w:rPr>
            </w:pPr>
          </w:p>
        </w:tc>
        <w:tc>
          <w:tcPr>
            <w:tcW w:w="820" w:type="dxa"/>
            <w:tcBorders>
              <w:top w:val="nil"/>
              <w:left w:val="single" w:color="auto" w:sz="4" w:space="0"/>
              <w:bottom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hint="eastAsia" w:ascii="Times New Roman" w:hAnsi="Times New Roman"/>
                <w:bCs/>
                <w:color w:val="auto"/>
                <w:kern w:val="0"/>
                <w:sz w:val="18"/>
                <w:szCs w:val="18"/>
                <w:highlight w:val="none"/>
              </w:rPr>
              <w:t>国家级科技项目资金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QH00</w:t>
            </w:r>
          </w:p>
        </w:tc>
        <w:tc>
          <w:tcPr>
            <w:tcW w:w="678"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xmmc</w:t>
            </w:r>
          </w:p>
        </w:tc>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QH11</w:t>
            </w:r>
          </w:p>
        </w:tc>
        <w:tc>
          <w:tcPr>
            <w:tcW w:w="68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QH31</w:t>
            </w:r>
          </w:p>
        </w:tc>
        <w:tc>
          <w:tcPr>
            <w:tcW w:w="704"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QH21</w:t>
            </w:r>
          </w:p>
        </w:tc>
        <w:tc>
          <w:tcPr>
            <w:tcW w:w="704"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QH32</w:t>
            </w:r>
          </w:p>
        </w:tc>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QH33</w:t>
            </w:r>
          </w:p>
        </w:tc>
        <w:tc>
          <w:tcPr>
            <w:tcW w:w="687"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QH34</w:t>
            </w:r>
          </w:p>
        </w:tc>
        <w:tc>
          <w:tcPr>
            <w:tcW w:w="687"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QH35</w:t>
            </w:r>
          </w:p>
        </w:tc>
        <w:tc>
          <w:tcPr>
            <w:tcW w:w="755"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QH36</w:t>
            </w:r>
          </w:p>
        </w:tc>
        <w:tc>
          <w:tcPr>
            <w:tcW w:w="701"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QH44</w:t>
            </w:r>
          </w:p>
        </w:tc>
        <w:tc>
          <w:tcPr>
            <w:tcW w:w="744"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QH40</w:t>
            </w:r>
          </w:p>
        </w:tc>
        <w:tc>
          <w:tcPr>
            <w:tcW w:w="658"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QH51</w:t>
            </w:r>
          </w:p>
        </w:tc>
        <w:tc>
          <w:tcPr>
            <w:tcW w:w="656"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QH52</w:t>
            </w:r>
          </w:p>
        </w:tc>
        <w:tc>
          <w:tcPr>
            <w:tcW w:w="820" w:type="dxa"/>
            <w:tcBorders>
              <w:top w:val="single" w:color="auto" w:sz="4" w:space="0"/>
              <w:bottom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QH5</w:t>
            </w:r>
            <w:r>
              <w:rPr>
                <w:rFonts w:hint="eastAsia" w:cs="Calibri"/>
                <w:bCs/>
                <w:color w:val="auto"/>
                <w:kern w:val="0"/>
                <w:sz w:val="18"/>
                <w:szCs w:val="18"/>
                <w:highlight w:val="none"/>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4" w:space="0"/>
            </w:tcBorders>
            <w:noWrap w:val="0"/>
            <w:vAlign w:val="top"/>
          </w:tcPr>
          <w:p>
            <w:pPr>
              <w:widowControl/>
              <w:spacing w:line="280" w:lineRule="exact"/>
              <w:rPr>
                <w:rFonts w:ascii="Times New Roman" w:hAnsi="Times New Roman"/>
                <w:bCs/>
                <w:color w:val="auto"/>
                <w:kern w:val="0"/>
                <w:szCs w:val="21"/>
                <w:highlight w:val="none"/>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78"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8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04"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87"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55"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01"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744"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8"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656"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c>
          <w:tcPr>
            <w:tcW w:w="820" w:type="dxa"/>
            <w:tcBorders>
              <w:top w:val="single" w:color="auto" w:sz="4" w:space="0"/>
              <w:bottom w:val="single" w:color="auto" w:sz="8" w:space="0"/>
            </w:tcBorders>
            <w:noWrap w:val="0"/>
            <w:vAlign w:val="top"/>
          </w:tcPr>
          <w:p>
            <w:pPr>
              <w:widowControl/>
              <w:spacing w:line="280" w:lineRule="exact"/>
              <w:rPr>
                <w:rFonts w:ascii="Times New Roman" w:hAnsi="Times New Roman"/>
                <w:bCs/>
                <w:color w:val="auto"/>
                <w:kern w:val="0"/>
                <w:szCs w:val="21"/>
                <w:highlight w:val="none"/>
              </w:rPr>
            </w:pPr>
          </w:p>
        </w:tc>
      </w:tr>
    </w:tbl>
    <w:p>
      <w:pPr>
        <w:spacing w:line="28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240" w:lineRule="exact"/>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 xml:space="preserve"> </w:t>
      </w:r>
    </w:p>
    <w:p>
      <w:pPr>
        <w:spacing w:line="360" w:lineRule="exact"/>
        <w:rPr>
          <w:rFonts w:ascii="Times New Roman" w:hAnsi="Times New Roman"/>
          <w:bCs/>
          <w:color w:val="auto"/>
          <w:sz w:val="18"/>
          <w:szCs w:val="24"/>
          <w:highlight w:val="none"/>
        </w:rPr>
      </w:pPr>
      <w:r>
        <w:rPr>
          <w:rFonts w:ascii="Times New Roman" w:hAnsi="Times New Roman"/>
          <w:bCs/>
          <w:color w:val="auto"/>
          <w:sz w:val="18"/>
          <w:szCs w:val="24"/>
          <w:highlight w:val="none"/>
        </w:rPr>
        <w:t>说明：1.本表由企业填报全部研究开发项目情况。</w:t>
      </w:r>
    </w:p>
    <w:p>
      <w:pPr>
        <w:spacing w:line="360" w:lineRule="exact"/>
        <w:ind w:firstLine="540" w:firstLineChars="300"/>
        <w:rPr>
          <w:rFonts w:ascii="Times New Roman" w:hAnsi="Times New Roman"/>
          <w:bCs/>
          <w:color w:val="auto"/>
          <w:sz w:val="18"/>
          <w:szCs w:val="24"/>
          <w:highlight w:val="none"/>
        </w:rPr>
      </w:pPr>
      <w:r>
        <w:rPr>
          <w:rFonts w:ascii="Times New Roman" w:hAnsi="Times New Roman"/>
          <w:bCs/>
          <w:color w:val="auto"/>
          <w:sz w:val="18"/>
          <w:szCs w:val="24"/>
          <w:highlight w:val="none"/>
        </w:rPr>
        <w:t>2.审核关系：</w:t>
      </w:r>
    </w:p>
    <w:p>
      <w:pPr>
        <w:spacing w:line="360" w:lineRule="exact"/>
        <w:ind w:firstLine="630" w:firstLineChars="350"/>
        <w:rPr>
          <w:bCs/>
          <w:color w:val="auto"/>
          <w:sz w:val="18"/>
          <w:szCs w:val="24"/>
          <w:highlight w:val="none"/>
        </w:rPr>
      </w:pPr>
      <w:r>
        <w:rPr>
          <w:bCs/>
          <w:color w:val="auto"/>
          <w:sz w:val="18"/>
          <w:szCs w:val="24"/>
          <w:highlight w:val="none"/>
        </w:rPr>
        <w:t>表内审核：</w:t>
      </w:r>
    </w:p>
    <w:p>
      <w:pPr>
        <w:spacing w:line="360" w:lineRule="exact"/>
        <w:ind w:left="525" w:leftChars="250"/>
        <w:rPr>
          <w:rFonts w:cs="Calibri"/>
          <w:bCs/>
          <w:color w:val="auto"/>
          <w:sz w:val="18"/>
          <w:szCs w:val="24"/>
          <w:highlight w:val="none"/>
        </w:rPr>
      </w:pPr>
      <w:r>
        <w:rPr>
          <w:rFonts w:cs="Calibri"/>
          <w:bCs/>
          <w:color w:val="auto"/>
          <w:sz w:val="18"/>
          <w:szCs w:val="24"/>
          <w:highlight w:val="none"/>
        </w:rPr>
        <w:t>（1）项目来源</w:t>
      </w:r>
      <w:r>
        <w:rPr>
          <w:rFonts w:hint="eastAsia" w:ascii="Times New Roman" w:hAnsi="Times New Roman" w:eastAsia="宋体" w:cs="Times New Roman"/>
          <w:bCs/>
          <w:color w:val="auto"/>
          <w:sz w:val="18"/>
          <w:szCs w:val="18"/>
          <w:highlight w:val="none"/>
        </w:rPr>
        <w:t>(QH11)</w:t>
      </w:r>
      <w:r>
        <w:rPr>
          <w:rFonts w:cs="Calibri"/>
          <w:bCs/>
          <w:color w:val="auto"/>
          <w:sz w:val="18"/>
          <w:szCs w:val="24"/>
          <w:highlight w:val="none"/>
        </w:rPr>
        <w:t>不得为空，有效代码为1、2、3、4或5</w:t>
      </w:r>
    </w:p>
    <w:p>
      <w:pPr>
        <w:spacing w:line="360" w:lineRule="exact"/>
        <w:ind w:left="525" w:leftChars="250"/>
        <w:rPr>
          <w:rFonts w:cs="Calibri"/>
          <w:bCs/>
          <w:color w:val="auto"/>
          <w:sz w:val="18"/>
          <w:szCs w:val="24"/>
          <w:highlight w:val="none"/>
        </w:rPr>
      </w:pPr>
      <w:r>
        <w:rPr>
          <w:rFonts w:cs="Calibri"/>
          <w:bCs/>
          <w:color w:val="auto"/>
          <w:sz w:val="18"/>
          <w:szCs w:val="24"/>
          <w:highlight w:val="none"/>
        </w:rPr>
        <w:t>（2）项目开展形式</w:t>
      </w:r>
      <w:r>
        <w:rPr>
          <w:rFonts w:hint="eastAsia" w:ascii="Times New Roman" w:hAnsi="Times New Roman" w:eastAsia="宋体" w:cs="Times New Roman"/>
          <w:bCs/>
          <w:color w:val="auto"/>
          <w:sz w:val="18"/>
          <w:szCs w:val="18"/>
          <w:highlight w:val="none"/>
        </w:rPr>
        <w:t>(QH31)</w:t>
      </w:r>
      <w:r>
        <w:rPr>
          <w:rFonts w:cs="Calibri"/>
          <w:bCs/>
          <w:color w:val="auto"/>
          <w:sz w:val="18"/>
          <w:szCs w:val="24"/>
          <w:highlight w:val="none"/>
        </w:rPr>
        <w:t>不得为空，有效代码为10、21、22、23、24、30或40</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（3）项目当年成果形式</w:t>
      </w:r>
      <w:r>
        <w:rPr>
          <w:rFonts w:eastAsia="宋体" w:cs="Calibri"/>
          <w:bCs/>
          <w:color w:val="auto"/>
          <w:sz w:val="18"/>
          <w:szCs w:val="24"/>
          <w:highlight w:val="none"/>
        </w:rPr>
        <w:t>(</w:t>
      </w:r>
      <w:r>
        <w:rPr>
          <w:rFonts w:cs="Calibri"/>
          <w:bCs/>
          <w:color w:val="auto"/>
          <w:sz w:val="18"/>
          <w:szCs w:val="24"/>
          <w:highlight w:val="none"/>
        </w:rPr>
        <w:t>QH21</w:t>
      </w:r>
      <w:r>
        <w:rPr>
          <w:rFonts w:eastAsia="宋体" w:cs="Calibri"/>
          <w:bCs/>
          <w:color w:val="auto"/>
          <w:sz w:val="18"/>
          <w:szCs w:val="24"/>
          <w:highlight w:val="none"/>
        </w:rPr>
        <w:t>)不</w:t>
      </w:r>
      <w:r>
        <w:rPr>
          <w:rFonts w:cs="Calibri"/>
          <w:bCs/>
          <w:color w:val="auto"/>
          <w:sz w:val="18"/>
          <w:szCs w:val="24"/>
          <w:highlight w:val="none"/>
        </w:rPr>
        <w:t>得为空，有效代码为01、02、03、04、05、06、07、08、09、10、11、12、13或14</w:t>
      </w:r>
    </w:p>
    <w:p>
      <w:pPr>
        <w:spacing w:line="360" w:lineRule="exact"/>
        <w:ind w:left="525" w:leftChars="250"/>
        <w:rPr>
          <w:rFonts w:cs="Calibri"/>
          <w:bCs/>
          <w:color w:val="auto"/>
          <w:sz w:val="18"/>
          <w:szCs w:val="24"/>
          <w:highlight w:val="none"/>
        </w:rPr>
      </w:pPr>
      <w:r>
        <w:rPr>
          <w:rFonts w:cs="Calibri"/>
          <w:bCs/>
          <w:color w:val="auto"/>
          <w:sz w:val="18"/>
          <w:szCs w:val="24"/>
          <w:highlight w:val="none"/>
        </w:rPr>
        <w:t>（4）项目技术经济目标</w:t>
      </w:r>
      <w:r>
        <w:rPr>
          <w:rFonts w:eastAsia="宋体" w:cs="Calibri"/>
          <w:bCs/>
          <w:color w:val="auto"/>
          <w:sz w:val="18"/>
          <w:szCs w:val="24"/>
          <w:highlight w:val="none"/>
        </w:rPr>
        <w:t>(</w:t>
      </w:r>
      <w:r>
        <w:rPr>
          <w:rFonts w:cs="Calibri"/>
          <w:bCs/>
          <w:color w:val="auto"/>
          <w:sz w:val="18"/>
          <w:szCs w:val="24"/>
          <w:highlight w:val="none"/>
        </w:rPr>
        <w:t>QH32</w:t>
      </w:r>
      <w:r>
        <w:rPr>
          <w:rFonts w:eastAsia="宋体" w:cs="Calibri"/>
          <w:bCs/>
          <w:color w:val="auto"/>
          <w:sz w:val="18"/>
          <w:szCs w:val="24"/>
          <w:highlight w:val="none"/>
        </w:rPr>
        <w:t>)</w:t>
      </w:r>
      <w:r>
        <w:rPr>
          <w:rFonts w:cs="Calibri"/>
          <w:bCs/>
          <w:color w:val="auto"/>
          <w:sz w:val="18"/>
          <w:szCs w:val="24"/>
          <w:highlight w:val="none"/>
        </w:rPr>
        <w:t>不得为空，有效代码为1、2、3、4、5、6、7、8或9</w:t>
      </w:r>
    </w:p>
    <w:p>
      <w:pPr>
        <w:spacing w:line="360" w:lineRule="exact"/>
        <w:ind w:left="525" w:leftChars="250"/>
        <w:rPr>
          <w:rFonts w:cs="Calibri"/>
          <w:bCs/>
          <w:color w:val="auto"/>
          <w:sz w:val="18"/>
          <w:szCs w:val="24"/>
          <w:highlight w:val="none"/>
        </w:rPr>
      </w:pPr>
      <w:r>
        <w:rPr>
          <w:rFonts w:cs="Calibri"/>
          <w:bCs/>
          <w:color w:val="auto"/>
          <w:sz w:val="18"/>
          <w:szCs w:val="24"/>
          <w:highlight w:val="none"/>
        </w:rPr>
        <w:t>（5）项目活动类型</w:t>
      </w:r>
      <w:r>
        <w:rPr>
          <w:rFonts w:eastAsia="宋体" w:cs="Calibri"/>
          <w:bCs/>
          <w:color w:val="auto"/>
          <w:sz w:val="18"/>
          <w:szCs w:val="24"/>
          <w:highlight w:val="none"/>
        </w:rPr>
        <w:t>(</w:t>
      </w:r>
      <w:r>
        <w:rPr>
          <w:rFonts w:cs="Calibri"/>
          <w:bCs/>
          <w:color w:val="auto"/>
          <w:sz w:val="18"/>
          <w:szCs w:val="24"/>
          <w:highlight w:val="none"/>
        </w:rPr>
        <w:t>QH33</w:t>
      </w:r>
      <w:r>
        <w:rPr>
          <w:rFonts w:eastAsia="宋体" w:cs="Calibri"/>
          <w:bCs/>
          <w:color w:val="auto"/>
          <w:sz w:val="18"/>
          <w:szCs w:val="24"/>
          <w:highlight w:val="none"/>
        </w:rPr>
        <w:t>)</w:t>
      </w:r>
      <w:r>
        <w:rPr>
          <w:rFonts w:cs="Calibri"/>
          <w:bCs/>
          <w:color w:val="auto"/>
          <w:sz w:val="18"/>
          <w:szCs w:val="24"/>
          <w:highlight w:val="none"/>
        </w:rPr>
        <w:t>不得为空，有效代码为1、2、3、4或5</w:t>
      </w:r>
    </w:p>
    <w:p>
      <w:pPr>
        <w:spacing w:line="360" w:lineRule="exact"/>
        <w:ind w:left="525" w:leftChars="250"/>
        <w:rPr>
          <w:rFonts w:cs="Calibri"/>
          <w:bCs/>
          <w:color w:val="auto"/>
          <w:sz w:val="18"/>
          <w:szCs w:val="24"/>
          <w:highlight w:val="none"/>
        </w:rPr>
      </w:pPr>
      <w:r>
        <w:rPr>
          <w:rFonts w:cs="Calibri"/>
          <w:bCs/>
          <w:color w:val="auto"/>
          <w:sz w:val="18"/>
          <w:szCs w:val="24"/>
          <w:highlight w:val="none"/>
        </w:rPr>
        <w:t>（6）项目的起始时间</w:t>
      </w:r>
      <w:r>
        <w:rPr>
          <w:rFonts w:eastAsia="宋体" w:cs="Calibri"/>
          <w:bCs/>
          <w:color w:val="auto"/>
          <w:sz w:val="18"/>
          <w:szCs w:val="24"/>
          <w:highlight w:val="none"/>
        </w:rPr>
        <w:t>(</w:t>
      </w:r>
      <w:r>
        <w:rPr>
          <w:rFonts w:cs="Calibri"/>
          <w:bCs/>
          <w:color w:val="auto"/>
          <w:sz w:val="18"/>
          <w:szCs w:val="24"/>
          <w:highlight w:val="none"/>
        </w:rPr>
        <w:t>QH34</w:t>
      </w:r>
      <w:r>
        <w:rPr>
          <w:rFonts w:eastAsia="宋体" w:cs="Calibri"/>
          <w:bCs/>
          <w:color w:val="auto"/>
          <w:sz w:val="18"/>
          <w:szCs w:val="24"/>
          <w:highlight w:val="none"/>
        </w:rPr>
        <w:t>)</w:t>
      </w:r>
      <w:r>
        <w:rPr>
          <w:rFonts w:cs="Calibri"/>
          <w:bCs/>
          <w:color w:val="auto"/>
          <w:sz w:val="18"/>
          <w:szCs w:val="24"/>
          <w:highlight w:val="none"/>
        </w:rPr>
        <w:t>须填满六位且</w:t>
      </w:r>
      <w:r>
        <w:rPr>
          <w:rFonts w:hint="eastAsia" w:ascii="Times New Roman" w:hAnsi="Times New Roman" w:eastAsia="宋体" w:cs="Times New Roman"/>
          <w:bCs/>
          <w:color w:val="auto"/>
          <w:sz w:val="18"/>
          <w:szCs w:val="18"/>
          <w:highlight w:val="none"/>
        </w:rPr>
        <w:t>≤</w:t>
      </w:r>
      <w:r>
        <w:rPr>
          <w:rFonts w:cs="Calibri"/>
          <w:bCs/>
          <w:color w:val="auto"/>
          <w:sz w:val="18"/>
          <w:szCs w:val="24"/>
          <w:highlight w:val="none"/>
        </w:rPr>
        <w:t>202112</w:t>
      </w:r>
    </w:p>
    <w:p>
      <w:pPr>
        <w:spacing w:line="360" w:lineRule="exact"/>
        <w:ind w:left="525" w:leftChars="250"/>
        <w:rPr>
          <w:rFonts w:cs="Calibri"/>
          <w:bCs/>
          <w:color w:val="auto"/>
          <w:sz w:val="18"/>
          <w:szCs w:val="24"/>
          <w:highlight w:val="none"/>
        </w:rPr>
      </w:pPr>
      <w:r>
        <w:rPr>
          <w:rFonts w:cs="Calibri"/>
          <w:bCs/>
          <w:color w:val="auto"/>
          <w:sz w:val="18"/>
          <w:szCs w:val="24"/>
          <w:highlight w:val="none"/>
        </w:rPr>
        <w:t>（7）若项目完成时间QH3</w:t>
      </w:r>
      <w:r>
        <w:rPr>
          <w:rFonts w:hint="eastAsia" w:ascii="Times New Roman" w:hAnsi="Times New Roman" w:eastAsia="宋体" w:cs="Times New Roman"/>
          <w:bCs/>
          <w:color w:val="auto"/>
          <w:sz w:val="18"/>
          <w:szCs w:val="18"/>
          <w:highlight w:val="none"/>
        </w:rPr>
        <w:t>5&lt;&gt;</w:t>
      </w:r>
      <w:r>
        <w:rPr>
          <w:rFonts w:cs="Calibri"/>
          <w:bCs/>
          <w:color w:val="auto"/>
          <w:sz w:val="18"/>
          <w:szCs w:val="24"/>
          <w:highlight w:val="none"/>
        </w:rPr>
        <w:t>“000000”，则</w:t>
      </w:r>
      <w:r>
        <w:rPr>
          <w:rFonts w:ascii="Times New Roman" w:hAnsi="Times New Roman" w:eastAsia="宋体" w:cs="Calibri"/>
          <w:bCs/>
          <w:color w:val="auto"/>
          <w:sz w:val="18"/>
          <w:szCs w:val="24"/>
          <w:highlight w:val="none"/>
        </w:rPr>
        <w:t>QH3</w:t>
      </w:r>
      <w:r>
        <w:rPr>
          <w:rFonts w:hint="eastAsia" w:ascii="Times New Roman" w:hAnsi="Times New Roman" w:eastAsia="宋体" w:cs="Times New Roman"/>
          <w:bCs/>
          <w:color w:val="auto"/>
          <w:sz w:val="18"/>
          <w:szCs w:val="18"/>
          <w:highlight w:val="none"/>
        </w:rPr>
        <w:t>5≥QH3</w:t>
      </w:r>
      <w:r>
        <w:rPr>
          <w:rFonts w:ascii="Times New Roman" w:hAnsi="Times New Roman" w:eastAsia="宋体" w:cs="Calibri"/>
          <w:bCs/>
          <w:color w:val="auto"/>
          <w:sz w:val="18"/>
          <w:szCs w:val="24"/>
          <w:highlight w:val="none"/>
        </w:rPr>
        <w:t>4</w:t>
      </w:r>
      <w:r>
        <w:rPr>
          <w:rFonts w:cs="Calibri"/>
          <w:bCs/>
          <w:color w:val="auto"/>
          <w:sz w:val="18"/>
          <w:szCs w:val="24"/>
          <w:highlight w:val="none"/>
        </w:rPr>
        <w:t>且</w:t>
      </w:r>
      <w:r>
        <w:rPr>
          <w:rFonts w:hint="eastAsia" w:ascii="Times New Roman" w:hAnsi="Times New Roman" w:eastAsia="宋体" w:cs="Times New Roman"/>
          <w:bCs/>
          <w:color w:val="auto"/>
          <w:sz w:val="18"/>
          <w:szCs w:val="18"/>
          <w:highlight w:val="none"/>
        </w:rPr>
        <w:t>QH34≤202112</w:t>
      </w:r>
      <w:r>
        <w:rPr>
          <w:rFonts w:cs="Calibri"/>
          <w:bCs/>
          <w:color w:val="auto"/>
          <w:sz w:val="18"/>
          <w:szCs w:val="24"/>
          <w:highlight w:val="none"/>
        </w:rPr>
        <w:t>且</w:t>
      </w:r>
      <w:r>
        <w:rPr>
          <w:rFonts w:hint="eastAsia" w:ascii="Times New Roman" w:hAnsi="Times New Roman" w:eastAsia="宋体" w:cs="Times New Roman"/>
          <w:bCs/>
          <w:color w:val="auto"/>
          <w:sz w:val="18"/>
          <w:szCs w:val="18"/>
          <w:highlight w:val="none"/>
        </w:rPr>
        <w:t>QH35≥202101</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（8）若项目的起始时间（QH34）为填报期上年或者项目在填报期当年尚未完成，即</w:t>
      </w:r>
      <w:r>
        <w:rPr>
          <w:rFonts w:hint="eastAsia" w:ascii="Times New Roman" w:hAnsi="Times New Roman" w:eastAsia="宋体" w:cs="Times New Roman"/>
          <w:bCs/>
          <w:color w:val="auto"/>
          <w:sz w:val="18"/>
          <w:szCs w:val="18"/>
          <w:highlight w:val="none"/>
        </w:rPr>
        <w:t>QH34≤202012</w:t>
      </w:r>
      <w:r>
        <w:rPr>
          <w:rFonts w:cs="Calibri"/>
          <w:bCs/>
          <w:color w:val="auto"/>
          <w:sz w:val="18"/>
          <w:szCs w:val="24"/>
          <w:highlight w:val="none"/>
        </w:rPr>
        <w:t>或</w:t>
      </w:r>
      <w:r>
        <w:rPr>
          <w:rFonts w:hint="eastAsia" w:ascii="Times New Roman" w:hAnsi="Times New Roman" w:eastAsia="宋体" w:cs="Times New Roman"/>
          <w:bCs/>
          <w:color w:val="auto"/>
          <w:sz w:val="18"/>
          <w:szCs w:val="18"/>
          <w:highlight w:val="none"/>
        </w:rPr>
        <w:t>QH35≥202201</w:t>
      </w:r>
      <w:r>
        <w:rPr>
          <w:rFonts w:cs="Calibri"/>
          <w:bCs/>
          <w:color w:val="auto"/>
          <w:sz w:val="18"/>
          <w:szCs w:val="24"/>
          <w:highlight w:val="none"/>
        </w:rPr>
        <w:t>，则属跨年项目，QH36的有效代码为1、2、3或4</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（9）若项目参加人员</w:t>
      </w:r>
      <w:r>
        <w:rPr>
          <w:rFonts w:hint="eastAsia" w:ascii="Times New Roman" w:hAnsi="Times New Roman" w:eastAsia="宋体" w:cs="Times New Roman"/>
          <w:bCs/>
          <w:color w:val="auto"/>
          <w:sz w:val="18"/>
          <w:szCs w:val="18"/>
          <w:highlight w:val="none"/>
        </w:rPr>
        <w:t>QH44&gt;0</w:t>
      </w:r>
      <w:r>
        <w:rPr>
          <w:rFonts w:cs="Calibri"/>
          <w:bCs/>
          <w:color w:val="auto"/>
          <w:sz w:val="18"/>
          <w:szCs w:val="24"/>
          <w:highlight w:val="none"/>
        </w:rPr>
        <w:t>则项目人员实际工作时间</w:t>
      </w:r>
      <w:r>
        <w:rPr>
          <w:rFonts w:hint="eastAsia" w:ascii="Times New Roman" w:hAnsi="Times New Roman" w:eastAsia="宋体" w:cs="Times New Roman"/>
          <w:bCs/>
          <w:color w:val="auto"/>
          <w:sz w:val="18"/>
          <w:szCs w:val="18"/>
          <w:highlight w:val="none"/>
        </w:rPr>
        <w:t>QH40&gt;0</w:t>
      </w:r>
      <w:r>
        <w:rPr>
          <w:rFonts w:cs="Calibri"/>
          <w:bCs/>
          <w:color w:val="auto"/>
          <w:sz w:val="18"/>
          <w:szCs w:val="24"/>
          <w:highlight w:val="none"/>
        </w:rPr>
        <w:t>，项目经费支出QH51&gt;0；若项目经费支出Q</w:t>
      </w:r>
      <w:r>
        <w:rPr>
          <w:rFonts w:hint="eastAsia" w:ascii="Times New Roman" w:hAnsi="Times New Roman" w:eastAsia="宋体" w:cs="Times New Roman"/>
          <w:bCs/>
          <w:color w:val="auto"/>
          <w:sz w:val="18"/>
          <w:szCs w:val="18"/>
          <w:highlight w:val="none"/>
        </w:rPr>
        <w:t>H51&gt;0</w:t>
      </w:r>
      <w:r>
        <w:rPr>
          <w:rFonts w:cs="Calibri"/>
          <w:bCs/>
          <w:color w:val="auto"/>
          <w:sz w:val="18"/>
          <w:szCs w:val="24"/>
          <w:highlight w:val="none"/>
        </w:rPr>
        <w:t>则项目参加人员</w:t>
      </w:r>
      <w:r>
        <w:rPr>
          <w:rFonts w:hint="eastAsia" w:ascii="Times New Roman" w:hAnsi="Times New Roman" w:eastAsia="宋体" w:cs="Times New Roman"/>
          <w:bCs/>
          <w:color w:val="auto"/>
          <w:sz w:val="18"/>
          <w:szCs w:val="18"/>
          <w:highlight w:val="none"/>
        </w:rPr>
        <w:t>QH44&gt;0</w:t>
      </w:r>
      <w:r>
        <w:rPr>
          <w:rFonts w:cs="Calibri"/>
          <w:bCs/>
          <w:color w:val="auto"/>
          <w:sz w:val="18"/>
          <w:szCs w:val="24"/>
          <w:highlight w:val="none"/>
        </w:rPr>
        <w:t>；</w:t>
      </w:r>
    </w:p>
    <w:p>
      <w:pPr>
        <w:spacing w:line="360" w:lineRule="exact"/>
        <w:ind w:left="525" w:leftChars="250"/>
        <w:rPr>
          <w:rFonts w:cs="Calibri"/>
          <w:bCs/>
          <w:color w:val="auto"/>
          <w:sz w:val="18"/>
          <w:szCs w:val="24"/>
          <w:highlight w:val="none"/>
        </w:rPr>
      </w:pPr>
      <w:r>
        <w:rPr>
          <w:rFonts w:cs="Calibri"/>
          <w:bCs/>
          <w:color w:val="auto"/>
          <w:sz w:val="18"/>
          <w:szCs w:val="24"/>
          <w:highlight w:val="none"/>
        </w:rPr>
        <w:t>（10）项目经费支出</w:t>
      </w:r>
      <w:r>
        <w:rPr>
          <w:rFonts w:hint="eastAsia" w:ascii="Times New Roman" w:hAnsi="Times New Roman" w:eastAsia="宋体" w:cs="Times New Roman"/>
          <w:bCs/>
          <w:color w:val="auto"/>
          <w:sz w:val="18"/>
          <w:szCs w:val="18"/>
          <w:highlight w:val="none"/>
        </w:rPr>
        <w:t>QH51≥</w:t>
      </w:r>
      <w:r>
        <w:rPr>
          <w:rFonts w:cs="Calibri"/>
          <w:bCs/>
          <w:color w:val="auto"/>
          <w:sz w:val="18"/>
          <w:szCs w:val="24"/>
          <w:highlight w:val="none"/>
        </w:rPr>
        <w:t>政府资金QH52</w:t>
      </w:r>
    </w:p>
    <w:p>
      <w:pPr>
        <w:spacing w:line="360" w:lineRule="exact"/>
        <w:ind w:left="1065" w:leftChars="250" w:hanging="540" w:hangingChars="300"/>
        <w:rPr>
          <w:rFonts w:cs="Calibri"/>
          <w:bCs/>
          <w:color w:val="auto"/>
          <w:sz w:val="18"/>
          <w:szCs w:val="24"/>
          <w:highlight w:val="none"/>
        </w:rPr>
      </w:pPr>
      <w:r>
        <w:rPr>
          <w:rFonts w:cs="Calibri"/>
          <w:bCs/>
          <w:color w:val="auto"/>
          <w:sz w:val="18"/>
          <w:szCs w:val="24"/>
          <w:highlight w:val="none"/>
        </w:rPr>
        <w:t>（11）若项目开展形式QH31的有效代码为30（委托其他企业或单位），则跨年项目所处主要进展阶段（QH36）、参加项目人员（QH44）和项目人员实际工作时间（QH40）项免填</w:t>
      </w:r>
    </w:p>
    <w:p>
      <w:pPr>
        <w:spacing w:line="360" w:lineRule="exact"/>
        <w:ind w:left="525" w:leftChars="250"/>
        <w:rPr>
          <w:rFonts w:cs="Calibri"/>
          <w:bCs/>
          <w:color w:val="auto"/>
          <w:sz w:val="18"/>
          <w:szCs w:val="24"/>
          <w:highlight w:val="none"/>
        </w:rPr>
      </w:pPr>
      <w:r>
        <w:rPr>
          <w:rFonts w:cs="Calibri"/>
          <w:bCs/>
          <w:color w:val="auto"/>
          <w:sz w:val="18"/>
          <w:szCs w:val="24"/>
          <w:highlight w:val="none"/>
        </w:rPr>
        <w:t>表间审核：</w:t>
      </w:r>
    </w:p>
    <w:p>
      <w:pPr>
        <w:numPr>
          <w:ilvl w:val="0"/>
          <w:numId w:val="3"/>
        </w:numPr>
        <w:spacing w:line="360" w:lineRule="exact"/>
        <w:ind w:left="525" w:leftChars="250"/>
        <w:rPr>
          <w:rFonts w:ascii="Times New Roman" w:hAnsi="Times New Roman" w:eastAsia="宋体" w:cs="Calibri"/>
          <w:bCs/>
          <w:color w:val="auto"/>
          <w:sz w:val="18"/>
          <w:szCs w:val="24"/>
          <w:highlight w:val="none"/>
        </w:rPr>
      </w:pPr>
      <w:r>
        <w:rPr>
          <w:rFonts w:ascii="Times New Roman" w:hAnsi="Times New Roman" w:eastAsia="宋体" w:cs="Calibri"/>
          <w:bCs/>
          <w:color w:val="auto"/>
          <w:sz w:val="18"/>
          <w:szCs w:val="24"/>
          <w:highlight w:val="none"/>
        </w:rPr>
        <w:t>GQ-004表∑QH40（项目人员实际工作时间合计）</w:t>
      </w:r>
      <w:r>
        <w:rPr>
          <w:rFonts w:hint="eastAsia" w:ascii="Times New Roman" w:hAnsi="Times New Roman" w:eastAsia="宋体" w:cs="Times New Roman"/>
          <w:bCs/>
          <w:color w:val="auto"/>
          <w:sz w:val="18"/>
          <w:szCs w:val="18"/>
          <w:highlight w:val="none"/>
        </w:rPr>
        <w:t>≤GQ-005</w:t>
      </w:r>
      <w:r>
        <w:rPr>
          <w:rFonts w:ascii="Times New Roman" w:hAnsi="Times New Roman" w:eastAsia="宋体" w:cs="Calibri"/>
          <w:bCs/>
          <w:color w:val="auto"/>
          <w:sz w:val="18"/>
          <w:szCs w:val="24"/>
          <w:highlight w:val="none"/>
        </w:rPr>
        <w:t>表QJ09（研究开发人员）*12</w:t>
      </w:r>
    </w:p>
    <w:p>
      <w:pPr>
        <w:tabs>
          <w:tab w:val="left" w:pos="753"/>
        </w:tabs>
        <w:snapToGrid/>
        <w:spacing w:line="360" w:lineRule="exact"/>
        <w:ind w:left="525" w:leftChars="250"/>
        <w:jc w:val="left"/>
        <w:rPr>
          <w:rFonts w:cs="Calibri"/>
          <w:bCs/>
          <w:color w:val="auto"/>
          <w:sz w:val="18"/>
          <w:szCs w:val="24"/>
          <w:highlight w:val="none"/>
        </w:rPr>
      </w:pPr>
      <w:r>
        <w:rPr>
          <w:rFonts w:ascii="Times New Roman" w:hAnsi="Times New Roman" w:eastAsia="宋体" w:cs="Calibri"/>
          <w:bCs/>
          <w:color w:val="auto"/>
          <w:sz w:val="18"/>
          <w:szCs w:val="24"/>
          <w:highlight w:val="none"/>
        </w:rPr>
        <w:t>（2）GQ-004表∑QH51（</w:t>
      </w:r>
      <w:r>
        <w:rPr>
          <w:rFonts w:cs="Calibri"/>
          <w:bCs/>
          <w:color w:val="auto"/>
          <w:sz w:val="18"/>
          <w:szCs w:val="24"/>
          <w:highlight w:val="none"/>
        </w:rPr>
        <w:t>项目经费支出合计）</w:t>
      </w:r>
      <w:r>
        <w:rPr>
          <w:rFonts w:hint="eastAsia" w:ascii="Times New Roman" w:hAnsi="Times New Roman" w:eastAsia="宋体" w:cs="Times New Roman"/>
          <w:bCs/>
          <w:color w:val="auto"/>
          <w:sz w:val="18"/>
          <w:szCs w:val="18"/>
          <w:highlight w:val="none"/>
        </w:rPr>
        <w:t>≤GQ-005</w:t>
      </w:r>
      <w:r>
        <w:rPr>
          <w:rFonts w:cs="Calibri"/>
          <w:bCs/>
          <w:color w:val="auto"/>
          <w:sz w:val="18"/>
          <w:szCs w:val="24"/>
          <w:highlight w:val="none"/>
        </w:rPr>
        <w:t>表QJ20（研究开发费用合计）</w:t>
      </w:r>
    </w:p>
    <w:p>
      <w:pPr>
        <w:tabs>
          <w:tab w:val="left" w:pos="753"/>
        </w:tabs>
        <w:snapToGrid/>
        <w:spacing w:line="360" w:lineRule="exact"/>
        <w:ind w:left="0" w:leftChars="0"/>
        <w:jc w:val="center"/>
        <w:rPr>
          <w:rFonts w:hint="eastAsia" w:ascii="黑体" w:hAnsi="黑体" w:eastAsia="黑体" w:cs="黑体"/>
          <w:b w:val="0"/>
          <w:bCs/>
          <w:color w:val="auto"/>
          <w:kern w:val="0"/>
          <w:sz w:val="32"/>
          <w:szCs w:val="32"/>
          <w:highlight w:val="none"/>
        </w:rPr>
      </w:pPr>
      <w:r>
        <w:rPr>
          <w:color w:val="auto"/>
          <w:highlight w:val="none"/>
        </w:rPr>
        <w:br w:type="page"/>
      </w:r>
      <w:r>
        <w:rPr>
          <w:rFonts w:hint="eastAsia" w:ascii="黑体" w:hAnsi="黑体" w:eastAsia="黑体" w:cs="黑体"/>
          <w:b w:val="0"/>
          <w:bCs/>
          <w:color w:val="auto"/>
          <w:kern w:val="0"/>
          <w:sz w:val="32"/>
          <w:szCs w:val="32"/>
          <w:highlight w:val="none"/>
        </w:rPr>
        <w:t>指标解释</w:t>
      </w:r>
    </w:p>
    <w:p>
      <w:pPr>
        <w:pStyle w:val="9"/>
        <w:rPr>
          <w:rFonts w:ascii="Times New Roman" w:hAnsi="Times New Roman"/>
          <w:color w:val="auto"/>
          <w:highlight w:val="none"/>
        </w:rPr>
      </w:pPr>
    </w:p>
    <w:p>
      <w:pPr>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1"/>
          <w:highlight w:val="none"/>
        </w:rPr>
        <w:t>研究开发</w:t>
      </w:r>
      <w:r>
        <w:rPr>
          <w:rFonts w:hint="eastAsia" w:ascii="Times New Roman" w:hAnsi="Times New Roman"/>
          <w:bCs/>
          <w:color w:val="auto"/>
          <w:szCs w:val="24"/>
          <w:highlight w:val="none"/>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企业的研究开发活动不包括：</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为使产生的新产品、材料和装置，建立的新工艺、系统和服务以及做实质性改进后的上述各项能够投入生产或实际应用，解决所存在的技术问题而进行的系统性的工作。这些活动的成果形式大多是可供生产和实际操作的带有技术和工艺参数的图纸、技术标准和操作规范。</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（2）企业从事的常规性技术升级或对某项科研成果直接应用等活动（如直接采用新的工艺、材料、装置、产品、服务或知识等）。</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（3）就特定技术项目提供可行性论证、技术预测、专题技术调查、分析评价所提供的技术咨询服务。</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（4）解决特定技术问题所提供的服务，包括一般性技术服务、技术中介服务和技术培训服务。</w:t>
      </w:r>
    </w:p>
    <w:p>
      <w:pPr>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项目名称</w:t>
      </w:r>
      <w:r>
        <w:rPr>
          <w:rFonts w:hint="eastAsia" w:ascii="Times New Roman" w:hAnsi="Times New Roman"/>
          <w:bCs/>
          <w:color w:val="auto"/>
          <w:szCs w:val="24"/>
          <w:highlight w:val="none"/>
        </w:rPr>
        <w:t>按企业研究开发项目的立项计划书、项目任务书或项目合同书等有关立项资料中确定的项目名称填写，应与企业会计账中有关研究开发会计科目或向税务部门提供的研发支出辅助账中归集的项目具体名称对应。</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项目来源</w:t>
      </w:r>
      <w:r>
        <w:rPr>
          <w:rFonts w:hint="eastAsia" w:ascii="Times New Roman" w:hAnsi="Times New Roman"/>
          <w:bCs/>
          <w:color w:val="auto"/>
          <w:szCs w:val="24"/>
          <w:highlight w:val="none"/>
        </w:rPr>
        <w:t>按相应的分类填写代码，具体的分类及代码是：1.本企业自选项目；2.政府部门科技项目；3.其他企业（单位）委托项目；4.境外项目；5.其他项目。</w:t>
      </w:r>
    </w:p>
    <w:p>
      <w:pPr>
        <w:spacing w:line="400" w:lineRule="exact"/>
        <w:ind w:firstLine="420" w:firstLineChars="200"/>
        <w:rPr>
          <w:rFonts w:ascii="Times New Roman" w:hAnsi="Times New Roman"/>
          <w:bCs/>
          <w:color w:val="auto"/>
          <w:spacing w:val="-6"/>
          <w:szCs w:val="24"/>
          <w:highlight w:val="none"/>
        </w:rPr>
      </w:pPr>
      <w:r>
        <w:rPr>
          <w:rFonts w:ascii="Times New Roman" w:hAnsi="Times New Roman"/>
          <w:bCs/>
          <w:color w:val="auto"/>
          <w:szCs w:val="24"/>
          <w:highlight w:val="none"/>
        </w:rPr>
        <w:t>其中政府部门</w:t>
      </w:r>
      <w:r>
        <w:rPr>
          <w:rFonts w:hint="eastAsia" w:ascii="Times New Roman" w:hAnsi="Times New Roman"/>
          <w:bCs/>
          <w:color w:val="auto"/>
          <w:szCs w:val="24"/>
          <w:highlight w:val="none"/>
          <w:lang w:eastAsia="zh-CN"/>
        </w:rPr>
        <w:t>科技</w:t>
      </w:r>
      <w:r>
        <w:rPr>
          <w:rFonts w:ascii="Times New Roman" w:hAnsi="Times New Roman"/>
          <w:bCs/>
          <w:color w:val="auto"/>
          <w:szCs w:val="24"/>
          <w:highlight w:val="none"/>
        </w:rPr>
        <w:t>项目包括各类国家科技计划项目</w:t>
      </w:r>
      <w:r>
        <w:rPr>
          <w:rFonts w:hint="eastAsia" w:ascii="Times New Roman" w:hAnsi="Times New Roman"/>
          <w:bCs/>
          <w:color w:val="auto"/>
          <w:szCs w:val="24"/>
          <w:highlight w:val="none"/>
          <w:lang w:eastAsia="zh-CN"/>
        </w:rPr>
        <w:t>（</w:t>
      </w:r>
      <w:r>
        <w:rPr>
          <w:rFonts w:ascii="Times New Roman" w:hAnsi="Times New Roman"/>
          <w:bCs/>
          <w:color w:val="auto"/>
          <w:szCs w:val="24"/>
          <w:highlight w:val="none"/>
        </w:rPr>
        <w:t>如国家自然科学基金、国家科技重大专项、</w:t>
      </w:r>
      <w:r>
        <w:rPr>
          <w:rFonts w:ascii="Times New Roman" w:hAnsi="Times New Roman"/>
          <w:bCs/>
          <w:color w:val="auto"/>
          <w:spacing w:val="-6"/>
          <w:szCs w:val="24"/>
          <w:highlight w:val="none"/>
        </w:rPr>
        <w:t>国家重点研发计划、技术创新引导专项（基金）、基地和人才专项等</w:t>
      </w:r>
      <w:r>
        <w:rPr>
          <w:rFonts w:hint="eastAsia" w:ascii="Times New Roman" w:hAnsi="Times New Roman"/>
          <w:bCs/>
          <w:color w:val="auto"/>
          <w:spacing w:val="-6"/>
          <w:szCs w:val="24"/>
          <w:highlight w:val="none"/>
          <w:lang w:eastAsia="zh-CN"/>
        </w:rPr>
        <w:t>）</w:t>
      </w:r>
      <w:r>
        <w:rPr>
          <w:rFonts w:ascii="Times New Roman" w:hAnsi="Times New Roman"/>
          <w:bCs/>
          <w:color w:val="auto"/>
          <w:spacing w:val="-6"/>
          <w:szCs w:val="24"/>
          <w:highlight w:val="none"/>
        </w:rPr>
        <w:t>以及由各级政府部门下达的各类研究开发项目。</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项目开展形式</w:t>
      </w:r>
      <w:r>
        <w:rPr>
          <w:rFonts w:hint="eastAsia" w:ascii="Times New Roman" w:hAnsi="Times New Roman"/>
          <w:bCs/>
          <w:color w:val="auto"/>
          <w:spacing w:val="-6"/>
          <w:szCs w:val="24"/>
          <w:highlight w:val="none"/>
        </w:rPr>
        <w:t>按重要程度选择最主要的项目开展形式并按相应的代码填写，具体的分类与代码是：10.自主完成；21.与境内研究机构合作；22.与境内高等学校合作；23.与境内其他企业或单位合作；24.与境外机构合作；31.委托境内研究机构或高等学校；32.委托境内其他企业或单位；33.委托境外机构；40.其他形式。</w:t>
      </w:r>
    </w:p>
    <w:p>
      <w:pPr>
        <w:spacing w:line="400" w:lineRule="exact"/>
        <w:ind w:firstLine="420" w:firstLineChars="200"/>
        <w:rPr>
          <w:rFonts w:hint="eastAsia" w:ascii="Times New Roman" w:hAnsi="Times New Roman" w:eastAsia="宋体"/>
          <w:bCs/>
          <w:color w:val="auto"/>
          <w:szCs w:val="24"/>
          <w:highlight w:val="none"/>
          <w:lang w:eastAsia="zh-CN"/>
        </w:rPr>
      </w:pPr>
      <w:r>
        <w:rPr>
          <w:rFonts w:ascii="Times New Roman" w:hAnsi="Times New Roman" w:eastAsia="黑体"/>
          <w:bCs/>
          <w:color w:val="auto"/>
          <w:szCs w:val="21"/>
          <w:highlight w:val="none"/>
        </w:rPr>
        <w:t>项目当年成果形式</w:t>
      </w:r>
      <w:r>
        <w:rPr>
          <w:rFonts w:hint="eastAsia" w:ascii="Times New Roman" w:hAnsi="Times New Roman"/>
          <w:bCs/>
          <w:color w:val="auto"/>
          <w:szCs w:val="24"/>
          <w:highlight w:val="none"/>
        </w:rPr>
        <w:t>按重要程度选择项目当年最主要的成果形式并按相应的代码填写，具体的分类与代码是：01.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r>
        <w:rPr>
          <w:rFonts w:hint="eastAsia" w:ascii="Times New Roman" w:hAnsi="Times New Roman"/>
          <w:bCs/>
          <w:color w:val="auto"/>
          <w:szCs w:val="24"/>
          <w:highlight w:val="none"/>
          <w:lang w:eastAsia="zh-CN"/>
        </w:rPr>
        <w:t>。</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项目技术经济目标</w:t>
      </w:r>
      <w:r>
        <w:rPr>
          <w:rFonts w:hint="eastAsia" w:ascii="Times New Roman" w:hAnsi="Times New Roman"/>
          <w:bCs/>
          <w:color w:val="auto"/>
          <w:szCs w:val="24"/>
          <w:highlight w:val="none"/>
        </w:rPr>
        <w:t>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spacing w:line="400" w:lineRule="exact"/>
        <w:ind w:firstLine="420" w:firstLineChars="200"/>
        <w:rPr>
          <w:rFonts w:hint="eastAsia" w:ascii="Times New Roman" w:hAnsi="Times New Roman" w:eastAsia="宋体"/>
          <w:bCs/>
          <w:color w:val="auto"/>
          <w:szCs w:val="24"/>
          <w:highlight w:val="none"/>
          <w:lang w:eastAsia="zh-CN"/>
        </w:rPr>
      </w:pPr>
      <w:r>
        <w:rPr>
          <w:rFonts w:ascii="Times New Roman" w:hAnsi="Times New Roman" w:eastAsia="黑体"/>
          <w:bCs/>
          <w:color w:val="auto"/>
          <w:szCs w:val="21"/>
          <w:highlight w:val="none"/>
        </w:rPr>
        <w:t>项目活动类型</w:t>
      </w:r>
      <w:r>
        <w:rPr>
          <w:rFonts w:ascii="Times New Roman" w:hAnsi="Times New Roman"/>
          <w:bCs/>
          <w:color w:val="auto"/>
          <w:szCs w:val="24"/>
          <w:highlight w:val="none"/>
        </w:rPr>
        <w:t>选最主要的项目(课题)活动类型并按相应的代码填写，具体的分类与代码是</w:t>
      </w:r>
      <w:r>
        <w:rPr>
          <w:rFonts w:hint="eastAsia" w:ascii="Times New Roman" w:hAnsi="Times New Roman"/>
          <w:bCs/>
          <w:color w:val="auto"/>
          <w:szCs w:val="24"/>
          <w:highlight w:val="none"/>
          <w:lang w:eastAsia="zh-CN"/>
        </w:rPr>
        <w:t>：</w:t>
      </w:r>
      <w:r>
        <w:rPr>
          <w:rFonts w:ascii="Times New Roman" w:hAnsi="Times New Roman"/>
          <w:bCs/>
          <w:color w:val="auto"/>
          <w:szCs w:val="24"/>
          <w:highlight w:val="none"/>
        </w:rPr>
        <w:t>1.基础研究；2.应用研究；3.试验发展；4.R&amp;D成果应用（试制与工程化）；5.技术咨询与技术服务</w:t>
      </w:r>
      <w:r>
        <w:rPr>
          <w:rFonts w:hint="eastAsia" w:ascii="Times New Roman" w:hAnsi="Times New Roman"/>
          <w:bCs/>
          <w:color w:val="auto"/>
          <w:szCs w:val="24"/>
          <w:highlight w:val="none"/>
          <w:lang w:eastAsia="zh-CN"/>
        </w:rPr>
        <w:t>。</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基础研究</w:t>
      </w:r>
      <w:r>
        <w:rPr>
          <w:rFonts w:ascii="Times New Roman" w:hAnsi="Times New Roman"/>
          <w:bCs/>
          <w:color w:val="auto"/>
          <w:szCs w:val="24"/>
          <w:highlight w:val="none"/>
        </w:rPr>
        <w:t>指是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用来反映知识的原始创新能力。</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应用研究</w:t>
      </w:r>
      <w:r>
        <w:rPr>
          <w:rFonts w:ascii="Times New Roman" w:hAnsi="Times New Roman"/>
          <w:bCs/>
          <w:color w:val="auto"/>
          <w:szCs w:val="24"/>
          <w:highlight w:val="none"/>
        </w:rPr>
        <w:t>指为获得新知识而进行的创造性研究，主要针对某一特定的目的或目标。应用研究是为了确定基础研究成果可能的用途，或是为了达到预定的目标探索应采取的新方法（原理性）或新途径。其成果形式以科学论文、专著、原理性模型或发明专利为主。用来反映对基础研究成果应用途径的探索。</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试验发展</w:t>
      </w:r>
      <w:r>
        <w:rPr>
          <w:rFonts w:ascii="Times New Roman" w:hAnsi="Times New Roman"/>
          <w:bCs/>
          <w:color w:val="auto"/>
          <w:szCs w:val="24"/>
          <w:highlight w:val="none"/>
        </w:rPr>
        <w:t>指利用从基础研究、应用研究和实际经验所获得的现有知识，为产生新的产品、材料和装置，建立的新工艺、系统和服务，以及对已经产生和建立的上述各项作实质性的改进而进行的系统性工作。其成果形式主要是发明专利、专有技术、具有新产品基本特征的产品原型或具有新装置基本特征的原始样机等。在社会科学领域，试验发展是指把通过基础研究、应用研究获得的知识转变成可以实施的计划（包括为进行检验和评估实施示范项目）的过程。人文科学领域没有对应的试验发展活动。主要反映将科研成果转化为技术和产品的能力，是科技推动经济社会发展的物化成果。</w:t>
      </w:r>
    </w:p>
    <w:p>
      <w:pPr>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R&amp;D成果应用活动</w:t>
      </w:r>
      <w:r>
        <w:rPr>
          <w:rFonts w:ascii="Times New Roman" w:hAnsi="Times New Roman"/>
          <w:bCs/>
          <w:color w:val="auto"/>
          <w:highlight w:val="none"/>
        </w:rPr>
        <w:t>指为使试验发展阶段产生的新产品、材料和装置，建立的新工艺、系统和服务以及作实质性改进后的上述各项能够投入生产或在实际中运用，解决所存在的技术问题而进行的系统的活动。它不具有</w:t>
      </w:r>
      <w:r>
        <w:rPr>
          <w:rFonts w:hint="eastAsia" w:ascii="Times New Roman" w:hAnsi="Times New Roman"/>
          <w:bCs/>
          <w:color w:val="auto"/>
          <w:highlight w:val="none"/>
          <w:lang w:eastAsia="zh-CN"/>
        </w:rPr>
        <w:t>创新成分</w:t>
      </w:r>
      <w:r>
        <w:rPr>
          <w:rFonts w:ascii="Times New Roman" w:hAnsi="Times New Roman"/>
          <w:bCs/>
          <w:color w:val="auto"/>
          <w:highlight w:val="none"/>
        </w:rPr>
        <w:t>。试制与工程化是制造业R&amp;D成果应用活动。</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试制与工程化</w:t>
      </w:r>
      <w:r>
        <w:rPr>
          <w:rFonts w:ascii="Times New Roman" w:hAnsi="Times New Roman"/>
          <w:bCs/>
          <w:color w:val="auto"/>
          <w:szCs w:val="24"/>
          <w:highlight w:val="none"/>
        </w:rPr>
        <w:t>对已有产品作技术上的微小改变或只有外观、色彩、样式等方面的变化；为了设计好新产品、工艺、系统及服务能够投入生产或使用而进行的系统化、规范化、标准化等方面的活动；试生产阶段的活动，如工装准备、小批量生产、试运转；生产过程的质量控制及材料、设备、产品的常规检验、测试。</w:t>
      </w:r>
    </w:p>
    <w:p>
      <w:pPr>
        <w:widowControl/>
        <w:topLinePunct/>
        <w:spacing w:line="400" w:lineRule="exact"/>
        <w:ind w:firstLine="420"/>
        <w:jc w:val="left"/>
        <w:rPr>
          <w:rFonts w:ascii="Times New Roman" w:hAnsi="Times New Roman"/>
          <w:bCs/>
          <w:color w:val="auto"/>
          <w:szCs w:val="18"/>
          <w:highlight w:val="none"/>
        </w:rPr>
      </w:pPr>
      <w:r>
        <w:rPr>
          <w:rFonts w:ascii="Times New Roman" w:hAnsi="Times New Roman" w:eastAsia="黑体"/>
          <w:bCs/>
          <w:color w:val="auto"/>
          <w:szCs w:val="21"/>
          <w:highlight w:val="none"/>
        </w:rPr>
        <w:t>技术咨询</w:t>
      </w:r>
      <w:r>
        <w:rPr>
          <w:rFonts w:ascii="Times New Roman" w:hAnsi="Times New Roman"/>
          <w:bCs/>
          <w:color w:val="auto"/>
          <w:szCs w:val="18"/>
          <w:highlight w:val="none"/>
        </w:rPr>
        <w:t>指就特定技术项目提供可行性论证、技术预测、专题技术调查、分析评价所提供的服务。</w:t>
      </w:r>
    </w:p>
    <w:p>
      <w:pPr>
        <w:widowControl/>
        <w:topLinePunct/>
        <w:spacing w:line="400" w:lineRule="exact"/>
        <w:ind w:firstLine="420"/>
        <w:jc w:val="left"/>
        <w:rPr>
          <w:rFonts w:ascii="Times New Roman" w:hAnsi="Times New Roman"/>
          <w:bCs/>
          <w:color w:val="auto"/>
          <w:szCs w:val="18"/>
          <w:highlight w:val="none"/>
        </w:rPr>
      </w:pPr>
      <w:r>
        <w:rPr>
          <w:rFonts w:ascii="Times New Roman" w:hAnsi="Times New Roman" w:eastAsia="黑体"/>
          <w:bCs/>
          <w:color w:val="auto"/>
          <w:szCs w:val="18"/>
          <w:highlight w:val="none"/>
        </w:rPr>
        <w:t>技术服务</w:t>
      </w:r>
      <w:r>
        <w:rPr>
          <w:rFonts w:ascii="Times New Roman" w:hAnsi="Times New Roman" w:eastAsia="宋体"/>
          <w:bCs/>
          <w:color w:val="auto"/>
          <w:szCs w:val="18"/>
          <w:highlight w:val="none"/>
        </w:rPr>
        <w:t>指</w:t>
      </w:r>
      <w:r>
        <w:rPr>
          <w:rFonts w:ascii="Times New Roman" w:hAnsi="Times New Roman"/>
          <w:bCs/>
          <w:color w:val="auto"/>
          <w:szCs w:val="18"/>
          <w:highlight w:val="none"/>
        </w:rPr>
        <w:t>为解决特定技术问题所提供的服务，包括一般性技术服务、技术中介服务和技术培训服务。</w:t>
      </w:r>
    </w:p>
    <w:p>
      <w:pPr>
        <w:spacing w:line="400" w:lineRule="exact"/>
        <w:ind w:firstLine="420" w:firstLineChars="200"/>
        <w:rPr>
          <w:rFonts w:ascii="宋体" w:hAnsi="宋体"/>
          <w:bCs/>
          <w:color w:val="auto"/>
          <w:szCs w:val="24"/>
          <w:highlight w:val="none"/>
        </w:rPr>
      </w:pPr>
      <w:r>
        <w:rPr>
          <w:rFonts w:ascii="Times New Roman" w:hAnsi="Times New Roman" w:eastAsia="黑体"/>
          <w:bCs/>
          <w:color w:val="auto"/>
          <w:szCs w:val="21"/>
          <w:highlight w:val="none"/>
        </w:rPr>
        <w:t>项目起始日期</w:t>
      </w:r>
      <w:r>
        <w:rPr>
          <w:rFonts w:hint="default" w:ascii="Times New Roman" w:hAnsi="Times New Roman" w:eastAsia="宋体" w:cs="Times New Roman"/>
          <w:bCs/>
          <w:color w:val="auto"/>
          <w:szCs w:val="24"/>
          <w:highlight w:val="none"/>
          <w:lang w:eastAsia="zh-CN"/>
        </w:rPr>
        <w:t>指</w:t>
      </w:r>
      <w:r>
        <w:rPr>
          <w:rFonts w:hint="default" w:ascii="Times New Roman" w:hAnsi="Times New Roman" w:eastAsia="宋体" w:cs="Times New Roman"/>
          <w:bCs/>
          <w:color w:val="auto"/>
          <w:szCs w:val="24"/>
          <w:highlight w:val="none"/>
        </w:rPr>
        <w:t>填写项目</w:t>
      </w:r>
      <w:r>
        <w:rPr>
          <w:rFonts w:hint="eastAsia" w:ascii="宋体" w:hAnsi="宋体"/>
          <w:bCs/>
          <w:color w:val="auto"/>
          <w:szCs w:val="24"/>
          <w:highlight w:val="none"/>
        </w:rPr>
        <w:t>列入企业计划或签订协议后、有组织进行研究开发的年月，即开始动用人力、物力、财力投入到研究开发项目的年月。项目起始日期为6位编码，其中前4位为年份，后2位为月份（1月至9月必须前补0）。</w:t>
      </w:r>
    </w:p>
    <w:p>
      <w:pPr>
        <w:spacing w:line="400" w:lineRule="exact"/>
        <w:ind w:firstLine="420" w:firstLineChars="200"/>
        <w:rPr>
          <w:rFonts w:ascii="宋体" w:hAnsi="宋体"/>
          <w:bCs/>
          <w:color w:val="auto"/>
          <w:szCs w:val="24"/>
          <w:highlight w:val="none"/>
        </w:rPr>
      </w:pPr>
      <w:r>
        <w:rPr>
          <w:rFonts w:ascii="Times New Roman" w:hAnsi="Times New Roman" w:eastAsia="黑体"/>
          <w:bCs/>
          <w:color w:val="auto"/>
          <w:szCs w:val="21"/>
          <w:highlight w:val="none"/>
        </w:rPr>
        <w:t>项目完成日期</w:t>
      </w:r>
      <w:r>
        <w:rPr>
          <w:rFonts w:hint="default" w:ascii="Times New Roman" w:hAnsi="Times New Roman" w:eastAsia="宋体" w:cs="Times New Roman"/>
          <w:bCs/>
          <w:color w:val="auto"/>
          <w:szCs w:val="24"/>
          <w:highlight w:val="none"/>
          <w:lang w:eastAsia="zh-CN"/>
        </w:rPr>
        <w:t>指</w:t>
      </w:r>
      <w:r>
        <w:rPr>
          <w:rFonts w:hint="default" w:ascii="Times New Roman" w:hAnsi="Times New Roman" w:eastAsia="宋体" w:cs="Times New Roman"/>
          <w:bCs/>
          <w:color w:val="auto"/>
          <w:szCs w:val="24"/>
          <w:highlight w:val="none"/>
        </w:rPr>
        <w:t>填写项</w:t>
      </w:r>
      <w:r>
        <w:rPr>
          <w:rFonts w:hint="eastAsia" w:ascii="宋体" w:hAnsi="宋体"/>
          <w:bCs/>
          <w:color w:val="auto"/>
          <w:szCs w:val="24"/>
          <w:highlight w:val="none"/>
        </w:rPr>
        <w:t>目技术鉴定的年月，为6位编码，其中前4位为年份，后2位为月份（1月至9月必须前补0）。如项目至当年底仍在继续进行，填写预期完成时间；如项目年内以失败告终，填写000000；如项目未鉴定就投产，填写投产使用时间。</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跨年项目当年所处主要进展阶段</w:t>
      </w:r>
      <w:r>
        <w:rPr>
          <w:rFonts w:hint="eastAsia" w:ascii="Times New Roman" w:hAnsi="Times New Roman"/>
          <w:bCs/>
          <w:color w:val="auto"/>
          <w:szCs w:val="24"/>
          <w:highlight w:val="none"/>
        </w:rPr>
        <w:t>按项目当年所处最主要进展阶段填写相应代码，具体的分类与代码是：1.研究阶段；2.小试阶段；3.中试阶段；4.试生产阶段。非跨年项目该指标免填。</w:t>
      </w:r>
    </w:p>
    <w:p>
      <w:pPr>
        <w:autoSpaceDN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rPr>
        <w:t>项目研究开发人员</w:t>
      </w:r>
      <w:r>
        <w:rPr>
          <w:rFonts w:hint="eastAsia" w:ascii="宋体" w:hAnsi="宋体" w:cs="宋体"/>
          <w:color w:val="auto"/>
          <w:highlight w:val="none"/>
        </w:rPr>
        <w:t>指报告期内编入研究开发项目并实际从事研究开发活动的人员。该指标应与企业会计</w:t>
      </w:r>
      <w:r>
        <w:rPr>
          <w:rFonts w:ascii="宋体" w:hAnsi="宋体" w:cs="宋体"/>
          <w:color w:val="auto"/>
          <w:highlight w:val="none"/>
        </w:rPr>
        <w:t>账中</w:t>
      </w:r>
      <w:r>
        <w:rPr>
          <w:rFonts w:hint="eastAsia" w:ascii="宋体" w:hAnsi="宋体" w:cs="宋体"/>
          <w:color w:val="auto"/>
          <w:highlight w:val="none"/>
        </w:rPr>
        <w:t>有关研究开发会计科目或向税务部门</w:t>
      </w:r>
      <w:r>
        <w:rPr>
          <w:rFonts w:ascii="宋体" w:hAnsi="宋体" w:cs="宋体"/>
          <w:color w:val="auto"/>
          <w:highlight w:val="none"/>
        </w:rPr>
        <w:t>提供的</w:t>
      </w:r>
      <w:r>
        <w:rPr>
          <w:rFonts w:hint="eastAsia" w:ascii="宋体" w:hAnsi="宋体" w:cs="宋体"/>
          <w:color w:val="auto"/>
          <w:highlight w:val="none"/>
        </w:rPr>
        <w:t>研发支出辅助账中人员人工费子科目里参加</w:t>
      </w:r>
      <w:r>
        <w:rPr>
          <w:rFonts w:ascii="宋体" w:hAnsi="宋体" w:cs="宋体"/>
          <w:color w:val="auto"/>
          <w:highlight w:val="none"/>
        </w:rPr>
        <w:t>该</w:t>
      </w:r>
      <w:r>
        <w:rPr>
          <w:rFonts w:hint="eastAsia" w:ascii="宋体" w:hAnsi="宋体" w:cs="宋体"/>
          <w:color w:val="auto"/>
          <w:highlight w:val="none"/>
        </w:rPr>
        <w:t>项目人员对应。若研究开发人员同时参加两个及以上研究开发项目，可重复填报。</w:t>
      </w:r>
      <w:r>
        <w:rPr>
          <w:rFonts w:ascii="Times New Roman" w:hAnsi="Times New Roman"/>
          <w:bCs/>
          <w:color w:val="auto"/>
          <w:szCs w:val="24"/>
          <w:highlight w:val="none"/>
        </w:rPr>
        <w:t>一般不包括企业的科技管理人员。</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项目人员实际工作时间</w:t>
      </w:r>
      <w:r>
        <w:rPr>
          <w:rFonts w:hint="eastAsia" w:ascii="Times New Roman" w:hAnsi="Times New Roman"/>
          <w:bCs/>
          <w:color w:val="auto"/>
          <w:szCs w:val="24"/>
          <w:highlight w:val="none"/>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12个月。</w:t>
      </w:r>
    </w:p>
    <w:p>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项目经费支出</w:t>
      </w:r>
      <w:r>
        <w:rPr>
          <w:rFonts w:hint="eastAsia" w:ascii="Times New Roman" w:hAnsi="Times New Roman"/>
          <w:bCs/>
          <w:color w:val="auto"/>
          <w:szCs w:val="24"/>
          <w:highlight w:val="none"/>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项目有关费用对应。</w:t>
      </w:r>
    </w:p>
    <w:p>
      <w:pPr>
        <w:snapToGrid w:val="0"/>
        <w:spacing w:line="386"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本年项目经费支出中政府资金</w:t>
      </w:r>
      <w:r>
        <w:rPr>
          <w:rFonts w:hint="eastAsia" w:ascii="Times New Roman" w:hAnsi="Times New Roman"/>
          <w:bCs/>
          <w:color w:val="auto"/>
          <w:szCs w:val="24"/>
          <w:highlight w:val="none"/>
        </w:rPr>
        <w:t>指报告期内研究开发项目中使用的从政府有关部门获得的研究开发经费合计，包括科技专项费、科研基建费、政府专项基金和补贴等。</w:t>
      </w:r>
    </w:p>
    <w:p>
      <w:pPr>
        <w:snapToGrid w:val="0"/>
        <w:spacing w:line="386" w:lineRule="exact"/>
        <w:ind w:firstLine="420" w:firstLineChars="200"/>
        <w:rPr>
          <w:rFonts w:ascii="Times New Roman" w:hAnsi="Times New Roman"/>
          <w:bCs/>
          <w:color w:val="auto"/>
          <w:szCs w:val="24"/>
          <w:highlight w:val="none"/>
        </w:rPr>
      </w:pPr>
      <w:r>
        <w:rPr>
          <w:rFonts w:hint="default" w:ascii="Times New Roman" w:hAnsi="Times New Roman" w:eastAsia="黑体" w:cs="Times New Roman"/>
          <w:b w:val="0"/>
          <w:bCs/>
          <w:color w:val="auto"/>
          <w:szCs w:val="21"/>
          <w:highlight w:val="none"/>
        </w:rPr>
        <w:t>国家级科技计划项目</w:t>
      </w:r>
      <w:r>
        <w:rPr>
          <w:rFonts w:hint="eastAsia"/>
          <w:color w:val="auto"/>
          <w:highlight w:val="none"/>
        </w:rPr>
        <w:t>根据国务院关于深化中央财政科技计划（专项、基金等）管理改革的方案（国发〔2014〕64号），将中央各部门管理的科技计划（专项、基金等）整合形成国家自然科学基金、国家科技重大专项、国家重点研发计划、技术创新引导专项（基金）、基地和人才专项等五类科技计划（专项、基金等）。国家级科技计划项目是指</w:t>
      </w:r>
      <w:r>
        <w:rPr>
          <w:rFonts w:hint="eastAsia"/>
          <w:color w:val="auto"/>
          <w:highlight w:val="none"/>
          <w:lang w:val="en-US" w:eastAsia="zh-CN"/>
        </w:rPr>
        <w:t>企业</w:t>
      </w:r>
      <w:r>
        <w:rPr>
          <w:rFonts w:hint="eastAsia"/>
          <w:color w:val="auto"/>
          <w:highlight w:val="none"/>
        </w:rPr>
        <w:t>申报通过并签订正式任务书的上述5类科技计划项目。</w:t>
      </w:r>
    </w:p>
    <w:p>
      <w:pPr>
        <w:widowControl/>
        <w:jc w:val="center"/>
        <w:outlineLvl w:val="2"/>
        <w:rPr>
          <w:rFonts w:ascii="Times New Roman" w:hAnsi="Times New Roman"/>
          <w:b/>
          <w:color w:val="auto"/>
          <w:kern w:val="0"/>
          <w:sz w:val="28"/>
          <w:szCs w:val="28"/>
          <w:highlight w:val="none"/>
        </w:rPr>
      </w:pPr>
      <w:r>
        <w:rPr>
          <w:rFonts w:ascii="Times New Roman" w:hAnsi="Times New Roman"/>
          <w:bCs/>
          <w:color w:val="auto"/>
          <w:kern w:val="0"/>
          <w:sz w:val="28"/>
          <w:szCs w:val="28"/>
          <w:highlight w:val="none"/>
        </w:rPr>
        <w:br w:type="page"/>
      </w:r>
      <w:bookmarkStart w:id="33" w:name="_Toc121734444"/>
      <w:r>
        <w:rPr>
          <w:rFonts w:ascii="Times New Roman" w:hAnsi="Times New Roman"/>
          <w:b/>
          <w:color w:val="auto"/>
          <w:kern w:val="0"/>
          <w:sz w:val="28"/>
          <w:szCs w:val="28"/>
          <w:highlight w:val="none"/>
        </w:rPr>
        <w:t>研究开发活动及相关情况</w:t>
      </w:r>
      <w:bookmarkEnd w:id="33"/>
    </w:p>
    <w:tbl>
      <w:tblPr>
        <w:tblStyle w:val="34"/>
        <w:tblW w:w="0" w:type="auto"/>
        <w:jc w:val="center"/>
        <w:tblLayout w:type="fixed"/>
        <w:tblCellMar>
          <w:top w:w="0" w:type="dxa"/>
          <w:left w:w="108" w:type="dxa"/>
          <w:bottom w:w="0" w:type="dxa"/>
          <w:right w:w="108" w:type="dxa"/>
        </w:tblCellMar>
      </w:tblPr>
      <w:tblGrid>
        <w:gridCol w:w="3297"/>
        <w:gridCol w:w="3120"/>
        <w:gridCol w:w="987"/>
        <w:gridCol w:w="131"/>
        <w:gridCol w:w="861"/>
        <w:gridCol w:w="1084"/>
      </w:tblGrid>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118"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表号：</w:t>
            </w:r>
          </w:p>
        </w:tc>
        <w:tc>
          <w:tcPr>
            <w:tcW w:w="194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szCs w:val="18"/>
                <w:highlight w:val="none"/>
              </w:rPr>
              <w:t>ＧＱ－００５</w:t>
            </w:r>
            <w:r>
              <w:rPr>
                <w:rFonts w:ascii="Times New Roman" w:hAnsi="Times New Roman"/>
                <w:bCs/>
                <w:color w:val="auto"/>
                <w:sz w:val="18"/>
                <w:highlight w:val="none"/>
              </w:rPr>
              <w:t>表</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Times New Roman" w:hAnsi="Times New Roman"/>
                <w:bCs/>
                <w:color w:val="auto"/>
                <w:sz w:val="18"/>
                <w:szCs w:val="24"/>
                <w:highlight w:val="none"/>
              </w:rPr>
            </w:pPr>
          </w:p>
        </w:tc>
        <w:tc>
          <w:tcPr>
            <w:tcW w:w="1118"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制定机关：</w:t>
            </w:r>
          </w:p>
        </w:tc>
        <w:tc>
          <w:tcPr>
            <w:tcW w:w="1945" w:type="dxa"/>
            <w:gridSpan w:val="2"/>
            <w:noWrap w:val="0"/>
            <w:vAlign w:val="center"/>
          </w:tcPr>
          <w:p>
            <w:pPr>
              <w:spacing w:line="240" w:lineRule="exact"/>
              <w:jc w:val="right"/>
              <w:rPr>
                <w:rFonts w:ascii="Times New Roman" w:hAnsi="Times New Roman"/>
                <w:bCs/>
                <w:color w:val="auto"/>
                <w:sz w:val="18"/>
                <w:szCs w:val="24"/>
                <w:highlight w:val="none"/>
              </w:rPr>
            </w:pPr>
            <w:r>
              <w:rPr>
                <w:rFonts w:hint="eastAsia" w:ascii="Times New Roman" w:hAnsi="Times New Roman"/>
                <w:bCs/>
                <w:color w:val="auto"/>
                <w:sz w:val="18"/>
                <w:highlight w:val="none"/>
                <w:lang w:val="en-US" w:eastAsia="zh-CN"/>
              </w:rPr>
              <w:t>工业和信息化</w:t>
            </w:r>
            <w:r>
              <w:rPr>
                <w:rFonts w:ascii="Times New Roman" w:hAnsi="Times New Roman"/>
                <w:bCs/>
                <w:color w:val="auto"/>
                <w:sz w:val="18"/>
                <w:highlight w:val="none"/>
              </w:rPr>
              <w:t>部</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宋体" w:hAnsi="宋体"/>
                <w:bCs/>
                <w:color w:val="auto"/>
                <w:sz w:val="18"/>
                <w:szCs w:val="24"/>
                <w:highlight w:val="none"/>
              </w:rPr>
            </w:pPr>
          </w:p>
        </w:tc>
        <w:tc>
          <w:tcPr>
            <w:tcW w:w="1118" w:type="dxa"/>
            <w:gridSpan w:val="2"/>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批准机关：</w:t>
            </w:r>
          </w:p>
        </w:tc>
        <w:tc>
          <w:tcPr>
            <w:tcW w:w="1945" w:type="dxa"/>
            <w:gridSpan w:val="2"/>
            <w:noWrap w:val="0"/>
            <w:vAlign w:val="center"/>
          </w:tcPr>
          <w:p>
            <w:pPr>
              <w:spacing w:line="240" w:lineRule="exact"/>
              <w:jc w:val="right"/>
              <w:rPr>
                <w:rFonts w:ascii="Times New Roman" w:hAnsi="Times New Roman"/>
                <w:bCs/>
                <w:color w:val="auto"/>
                <w:sz w:val="18"/>
                <w:szCs w:val="24"/>
                <w:highlight w:val="none"/>
              </w:rPr>
            </w:pPr>
            <w:r>
              <w:rPr>
                <w:rFonts w:ascii="Times New Roman" w:hAnsi="Times New Roman"/>
                <w:bCs/>
                <w:color w:val="auto"/>
                <w:sz w:val="18"/>
                <w:highlight w:val="none"/>
              </w:rPr>
              <w:t>国家统计局</w:t>
            </w:r>
          </w:p>
        </w:tc>
      </w:tr>
      <w:tr>
        <w:tblPrEx>
          <w:tblCellMar>
            <w:top w:w="0" w:type="dxa"/>
            <w:left w:w="108" w:type="dxa"/>
            <w:bottom w:w="0" w:type="dxa"/>
            <w:right w:w="108" w:type="dxa"/>
          </w:tblCellMar>
        </w:tblPrEx>
        <w:trPr>
          <w:trHeight w:val="283" w:hRule="atLeast"/>
          <w:jc w:val="center"/>
        </w:trPr>
        <w:tc>
          <w:tcPr>
            <w:tcW w:w="6417" w:type="dxa"/>
            <w:gridSpan w:val="2"/>
            <w:noWrap w:val="0"/>
            <w:vAlign w:val="center"/>
          </w:tcPr>
          <w:p>
            <w:pPr>
              <w:snapToGrid w:val="0"/>
              <w:spacing w:line="240" w:lineRule="exact"/>
              <w:rPr>
                <w:rFonts w:ascii="宋体" w:hAnsi="宋体"/>
                <w:bCs/>
                <w:color w:val="auto"/>
                <w:sz w:val="18"/>
                <w:szCs w:val="24"/>
                <w:highlight w:val="none"/>
              </w:rPr>
            </w:pPr>
            <w:r>
              <w:rPr>
                <w:rFonts w:ascii="宋体" w:hAnsi="宋体"/>
                <w:bCs/>
                <w:color w:val="auto"/>
                <w:sz w:val="18"/>
                <w:szCs w:val="24"/>
                <w:highlight w:val="none"/>
              </w:rPr>
              <w:t>统一社会信用代码</w:t>
            </w:r>
            <w:r>
              <w:rPr>
                <w:rFonts w:ascii="宋体" w:hAnsi="宋体"/>
                <w:bCs/>
                <w:color w:val="auto"/>
                <w:sz w:val="18"/>
                <w:szCs w:val="18"/>
                <w:highlight w:val="none"/>
              </w:rPr>
              <w:t>□□□□□□□□□□□□□□□□□□</w:t>
            </w:r>
          </w:p>
        </w:tc>
        <w:tc>
          <w:tcPr>
            <w:tcW w:w="1118" w:type="dxa"/>
            <w:gridSpan w:val="2"/>
            <w:noWrap w:val="0"/>
            <w:vAlign w:val="center"/>
          </w:tcPr>
          <w:p>
            <w:pPr>
              <w:pStyle w:val="139"/>
              <w:tabs>
                <w:tab w:val="left" w:pos="730"/>
              </w:tabs>
              <w:autoSpaceDE/>
              <w:autoSpaceDN/>
              <w:adjustRightInd/>
              <w:spacing w:before="14" w:line="240" w:lineRule="exact"/>
              <w:jc w:val="both"/>
              <w:rPr>
                <w:rFonts w:ascii="Times New Roman" w:hAnsi="Times New Roman"/>
                <w:bCs/>
                <w:color w:val="auto"/>
                <w:sz w:val="18"/>
                <w:szCs w:val="18"/>
                <w:highlight w:val="none"/>
              </w:rPr>
            </w:pPr>
            <w:r>
              <w:rPr>
                <w:rFonts w:ascii="Times New Roman" w:hAnsi="Times New Roman"/>
                <w:bCs/>
                <w:color w:val="auto"/>
                <w:sz w:val="18"/>
                <w:szCs w:val="18"/>
                <w:highlight w:val="none"/>
              </w:rPr>
              <w:t>批准文号：</w:t>
            </w:r>
          </w:p>
        </w:tc>
        <w:tc>
          <w:tcPr>
            <w:tcW w:w="1945" w:type="dxa"/>
            <w:gridSpan w:val="2"/>
            <w:noWrap w:val="0"/>
            <w:vAlign w:val="center"/>
          </w:tcPr>
          <w:p>
            <w:pPr>
              <w:spacing w:line="240" w:lineRule="exact"/>
              <w:jc w:val="right"/>
              <w:rPr>
                <w:rFonts w:ascii="Times New Roman" w:hAnsi="Times New Roman"/>
                <w:bCs/>
                <w:color w:val="auto"/>
                <w:sz w:val="18"/>
                <w:szCs w:val="18"/>
                <w:highlight w:val="none"/>
              </w:rPr>
            </w:pPr>
            <w:r>
              <w:rPr>
                <w:rFonts w:ascii="Times New Roman" w:hAnsi="Times New Roman"/>
                <w:bCs/>
                <w:color w:val="auto"/>
                <w:sz w:val="18"/>
                <w:highlight w:val="none"/>
              </w:rPr>
              <w:t>国统制〔202</w:t>
            </w:r>
            <w:r>
              <w:rPr>
                <w:rFonts w:hint="eastAsia" w:ascii="Times New Roman" w:hAnsi="Times New Roman"/>
                <w:bCs/>
                <w:color w:val="auto"/>
                <w:sz w:val="18"/>
                <w:highlight w:val="none"/>
                <w:lang w:val="en-US" w:eastAsia="zh-CN"/>
              </w:rPr>
              <w:t>4</w:t>
            </w:r>
            <w:r>
              <w:rPr>
                <w:rFonts w:ascii="Times New Roman" w:hAnsi="Times New Roman"/>
                <w:bCs/>
                <w:color w:val="auto"/>
                <w:sz w:val="18"/>
                <w:highlight w:val="none"/>
              </w:rPr>
              <w:t>〕</w:t>
            </w:r>
            <w:r>
              <w:rPr>
                <w:rFonts w:hint="eastAsia" w:ascii="Times New Roman" w:hAnsi="Times New Roman"/>
                <w:bCs/>
                <w:color w:val="auto"/>
                <w:sz w:val="18"/>
                <w:highlight w:val="none"/>
                <w:lang w:val="en-US" w:eastAsia="zh-CN"/>
              </w:rPr>
              <w:t>187</w:t>
            </w:r>
            <w:r>
              <w:rPr>
                <w:rFonts w:ascii="Times New Roman" w:hAnsi="Times New Roman"/>
                <w:bCs/>
                <w:color w:val="auto"/>
                <w:sz w:val="18"/>
                <w:highlight w:val="none"/>
              </w:rPr>
              <w:t>号</w:t>
            </w:r>
          </w:p>
        </w:tc>
      </w:tr>
      <w:tr>
        <w:tblPrEx>
          <w:tblCellMar>
            <w:top w:w="0" w:type="dxa"/>
            <w:left w:w="108" w:type="dxa"/>
            <w:bottom w:w="0" w:type="dxa"/>
            <w:right w:w="108" w:type="dxa"/>
          </w:tblCellMar>
        </w:tblPrEx>
        <w:trPr>
          <w:trHeight w:val="283" w:hRule="atLeast"/>
          <w:jc w:val="center"/>
        </w:trPr>
        <w:tc>
          <w:tcPr>
            <w:tcW w:w="3297" w:type="dxa"/>
            <w:noWrap w:val="0"/>
            <w:vAlign w:val="center"/>
          </w:tcPr>
          <w:p>
            <w:pPr>
              <w:snapToGrid w:val="0"/>
              <w:spacing w:line="240" w:lineRule="exact"/>
              <w:rPr>
                <w:rFonts w:ascii="Times New Roman" w:hAnsi="Times New Roman"/>
                <w:bCs/>
                <w:color w:val="auto"/>
                <w:sz w:val="18"/>
                <w:szCs w:val="24"/>
                <w:highlight w:val="none"/>
              </w:rPr>
            </w:pPr>
            <w:r>
              <w:rPr>
                <w:rFonts w:ascii="Times New Roman" w:hAnsi="Times New Roman"/>
                <w:bCs/>
                <w:color w:val="auto"/>
                <w:sz w:val="18"/>
                <w:szCs w:val="18"/>
                <w:highlight w:val="none"/>
              </w:rPr>
              <w:t>企业（单位）详细名称：</w:t>
            </w:r>
          </w:p>
        </w:tc>
        <w:tc>
          <w:tcPr>
            <w:tcW w:w="3120" w:type="dxa"/>
            <w:noWrap w:val="0"/>
            <w:vAlign w:val="center"/>
          </w:tcPr>
          <w:p>
            <w:pPr>
              <w:snapToGrid w:val="0"/>
              <w:spacing w:line="24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２０</w:t>
            </w:r>
            <w:r>
              <w:rPr>
                <w:rFonts w:hint="eastAsia"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u w:val="single"/>
              </w:rPr>
              <w:t xml:space="preserve">   </w:t>
            </w:r>
            <w:r>
              <w:rPr>
                <w:rFonts w:ascii="Times New Roman" w:hAnsi="Times New Roman"/>
                <w:bCs/>
                <w:color w:val="auto"/>
                <w:sz w:val="18"/>
                <w:szCs w:val="18"/>
                <w:highlight w:val="none"/>
              </w:rPr>
              <w:t>年</w:t>
            </w:r>
          </w:p>
        </w:tc>
        <w:tc>
          <w:tcPr>
            <w:tcW w:w="1118" w:type="dxa"/>
            <w:gridSpan w:val="2"/>
            <w:noWrap w:val="0"/>
            <w:vAlign w:val="center"/>
          </w:tcPr>
          <w:p>
            <w:pPr>
              <w:snapToGrid w:val="0"/>
              <w:spacing w:line="240" w:lineRule="exact"/>
              <w:rPr>
                <w:rFonts w:ascii="Times New Roman" w:hAnsi="Times New Roman"/>
                <w:bCs/>
                <w:color w:val="auto"/>
                <w:sz w:val="18"/>
                <w:szCs w:val="18"/>
                <w:highlight w:val="none"/>
              </w:rPr>
            </w:pPr>
            <w:r>
              <w:rPr>
                <w:rFonts w:ascii="Times New Roman" w:hAnsi="Times New Roman"/>
                <w:bCs/>
                <w:color w:val="auto"/>
                <w:sz w:val="18"/>
                <w:szCs w:val="18"/>
                <w:highlight w:val="none"/>
              </w:rPr>
              <w:t>有效期至：</w:t>
            </w:r>
          </w:p>
        </w:tc>
        <w:tc>
          <w:tcPr>
            <w:tcW w:w="1945" w:type="dxa"/>
            <w:gridSpan w:val="2"/>
            <w:noWrap w:val="0"/>
            <w:vAlign w:val="center"/>
          </w:tcPr>
          <w:p>
            <w:pPr>
              <w:spacing w:line="240" w:lineRule="exact"/>
              <w:jc w:val="right"/>
              <w:rPr>
                <w:rFonts w:ascii="Times New Roman" w:hAnsi="Times New Roman"/>
                <w:bCs/>
                <w:color w:val="auto"/>
                <w:sz w:val="18"/>
                <w:szCs w:val="18"/>
                <w:highlight w:val="none"/>
              </w:rPr>
            </w:pPr>
            <w:r>
              <w:rPr>
                <w:rFonts w:hint="eastAsia" w:ascii="Times New Roman" w:hAnsi="Times New Roman"/>
                <w:bCs/>
                <w:color w:val="auto"/>
                <w:sz w:val="18"/>
                <w:szCs w:val="18"/>
                <w:highlight w:val="none"/>
                <w:lang w:val="en-US" w:eastAsia="zh-CN"/>
              </w:rPr>
              <w:t>2027</w:t>
            </w:r>
            <w:r>
              <w:rPr>
                <w:rFonts w:ascii="Times New Roman" w:hAnsi="Times New Roman"/>
                <w:bCs/>
                <w:color w:val="auto"/>
                <w:sz w:val="18"/>
                <w:highlight w:val="none"/>
              </w:rPr>
              <w:t>年</w:t>
            </w:r>
            <w:r>
              <w:rPr>
                <w:rFonts w:hint="eastAsia" w:ascii="Times New Roman" w:hAnsi="Times New Roman"/>
                <w:bCs/>
                <w:color w:val="auto"/>
                <w:sz w:val="18"/>
                <w:highlight w:val="none"/>
                <w:lang w:val="en-US" w:eastAsia="zh-CN"/>
              </w:rPr>
              <w:t>12</w:t>
            </w:r>
            <w:r>
              <w:rPr>
                <w:rFonts w:ascii="Times New Roman" w:hAnsi="Times New Roman"/>
                <w:bCs/>
                <w:color w:val="auto"/>
                <w:sz w:val="18"/>
                <w:highlight w:val="none"/>
              </w:rPr>
              <w:t>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8"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名</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称</w:t>
            </w:r>
          </w:p>
        </w:tc>
        <w:tc>
          <w:tcPr>
            <w:tcW w:w="987"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计量单位</w:t>
            </w:r>
          </w:p>
        </w:tc>
        <w:tc>
          <w:tcPr>
            <w:tcW w:w="992" w:type="dxa"/>
            <w:gridSpan w:val="2"/>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sz w:val="18"/>
                <w:szCs w:val="18"/>
                <w:highlight w:val="none"/>
              </w:rPr>
              <w:t>代</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码</w:t>
            </w:r>
          </w:p>
        </w:tc>
        <w:tc>
          <w:tcPr>
            <w:tcW w:w="1084" w:type="dxa"/>
            <w:tcBorders>
              <w:top w:val="single" w:color="auto" w:sz="8" w:space="0"/>
              <w:left w:val="single" w:color="auto" w:sz="4" w:space="0"/>
              <w:bottom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甲</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乙</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丙</w:t>
            </w:r>
          </w:p>
        </w:tc>
        <w:tc>
          <w:tcPr>
            <w:tcW w:w="1084" w:type="dxa"/>
            <w:tcBorders>
              <w:top w:val="single" w:color="auto" w:sz="4" w:space="0"/>
              <w:left w:val="single" w:color="auto" w:sz="4" w:space="0"/>
              <w:bottom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b/>
                <w:color w:val="auto"/>
                <w:kern w:val="0"/>
                <w:sz w:val="18"/>
                <w:szCs w:val="18"/>
                <w:highlight w:val="none"/>
              </w:rPr>
            </w:pPr>
            <w:r>
              <w:rPr>
                <w:rFonts w:ascii="Times New Roman" w:hAnsi="Times New Roman"/>
                <w:b/>
                <w:color w:val="auto"/>
                <w:kern w:val="0"/>
                <w:sz w:val="18"/>
                <w:szCs w:val="18"/>
                <w:highlight w:val="none"/>
              </w:rPr>
              <w:t>一、研究开发人员情况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1084" w:type="dxa"/>
            <w:tcBorders>
              <w:top w:val="single" w:color="auto" w:sz="4" w:space="0"/>
              <w:left w:val="single" w:color="auto" w:sz="4" w:space="0"/>
              <w:bottom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jc w:val="lef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研究开发人员合计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QJ09</w:t>
            </w:r>
          </w:p>
        </w:tc>
        <w:tc>
          <w:tcPr>
            <w:tcW w:w="1084" w:type="dxa"/>
            <w:tcBorders>
              <w:top w:val="single" w:color="auto" w:sz="4" w:space="0"/>
              <w:left w:val="single" w:color="auto" w:sz="4" w:space="0"/>
              <w:bottom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其中：管理和服务人员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QJ67</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其中：全职人员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其中：本科毕业及以上人员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其中：外聘人员</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人</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QJ09_3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31" w:leftChars="-15"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rPr>
            </w:pPr>
            <w:r>
              <w:rPr>
                <w:rFonts w:ascii="Calibri" w:hAnsi="Calibri" w:cs="Calibri"/>
                <w:b/>
                <w:color w:val="auto"/>
                <w:sz w:val="18"/>
                <w:szCs w:val="18"/>
                <w:highlight w:val="none"/>
              </w:rPr>
              <w:t>二</w:t>
            </w:r>
            <w:r>
              <w:rPr>
                <w:rFonts w:ascii="Calibri" w:hAnsi="Calibri" w:cs="Calibri"/>
                <w:b/>
                <w:color w:val="auto"/>
                <w:kern w:val="0"/>
                <w:sz w:val="18"/>
                <w:szCs w:val="18"/>
                <w:highlight w:val="none"/>
              </w:rPr>
              <w:t>、研究开发费用情况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研究开发费用合计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QJ20</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其中：人员人工费用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其中：直接投入费用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其中：折旧费用与长期待摊费用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其中：无形资产摊销费用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QJ23_4</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其中：设计费用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QJ23_6</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其中：装备调试费用与试验费用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QJ23_7</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其中：委托外部研究开发费用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810" w:firstLineChars="4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其中：委托境内研究机构</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委托境内高等学校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QJ33_2</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委托境内企业</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QJ33_4</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1350" w:firstLineChars="75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委托境外机构</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QJ33_3</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其中：其他费用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szCs w:val="24"/>
                <w:highlight w:val="none"/>
              </w:rPr>
            </w:pPr>
            <w:r>
              <w:rPr>
                <w:rFonts w:cs="Calibri"/>
                <w:bCs/>
                <w:color w:val="auto"/>
                <w:kern w:val="0"/>
                <w:sz w:val="18"/>
                <w:szCs w:val="18"/>
                <w:highlight w:val="none"/>
              </w:rPr>
              <w:t>QJ23_5</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rPr>
            </w:pPr>
            <w:r>
              <w:rPr>
                <w:rFonts w:ascii="Calibri" w:hAnsi="Calibri" w:cs="Calibri"/>
                <w:b/>
                <w:color w:val="auto"/>
                <w:kern w:val="0"/>
                <w:sz w:val="18"/>
                <w:szCs w:val="18"/>
                <w:highlight w:val="none"/>
              </w:rPr>
              <w:t>三、研究开发资产情况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50" w:right="-105" w:rightChars="-50"/>
              <w:jc w:val="center"/>
              <w:rPr>
                <w:rFonts w:cs="Calibri"/>
                <w:bCs/>
                <w:color w:val="auto"/>
                <w:kern w:val="0"/>
                <w:sz w:val="18"/>
                <w:szCs w:val="18"/>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05" w:leftChars="-50" w:right="-105" w:rightChars="-50"/>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当年形成用于研究开发的固定资产</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QJ250</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rPr>
            </w:pPr>
            <w:r>
              <w:rPr>
                <w:rFonts w:ascii="Calibri" w:hAnsi="Calibri" w:cs="Calibri"/>
                <w:bCs/>
                <w:color w:val="auto"/>
                <w:kern w:val="0"/>
                <w:sz w:val="18"/>
                <w:szCs w:val="18"/>
                <w:highlight w:val="none"/>
              </w:rPr>
              <w:t>其中：仪器和设备</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QJ251</w:t>
            </w:r>
          </w:p>
        </w:tc>
        <w:tc>
          <w:tcPr>
            <w:tcW w:w="1084"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rPr>
            </w:pPr>
            <w:r>
              <w:rPr>
                <w:rFonts w:ascii="Calibri" w:hAnsi="Calibri" w:cs="Calibri"/>
                <w:b/>
                <w:color w:val="auto"/>
                <w:kern w:val="0"/>
                <w:sz w:val="18"/>
                <w:szCs w:val="18"/>
                <w:highlight w:val="none"/>
              </w:rPr>
              <w:t>四、研究开发支出资金来源情况</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sz w:val="18"/>
                <w:szCs w:val="18"/>
                <w:highlight w:val="none"/>
              </w:rPr>
            </w:pPr>
            <w:r>
              <w:rPr>
                <w:rFonts w:cs="Calibri"/>
                <w:bCs/>
                <w:color w:val="auto"/>
                <w:kern w:val="0"/>
                <w:sz w:val="18"/>
                <w:szCs w:val="18"/>
                <w:highlight w:val="none"/>
              </w:rPr>
              <w:t>—</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来自企业自筹</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kern w:val="0"/>
                <w:sz w:val="18"/>
                <w:szCs w:val="18"/>
                <w:highlight w:val="none"/>
              </w:rPr>
            </w:pPr>
            <w:r>
              <w:rPr>
                <w:rFonts w:cs="Calibri"/>
                <w:bCs/>
                <w:color w:val="auto"/>
                <w:kern w:val="0"/>
                <w:sz w:val="18"/>
                <w:szCs w:val="18"/>
                <w:highlight w:val="none"/>
              </w:rPr>
              <w:t>QJ256</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kern w:val="0"/>
                <w:sz w:val="18"/>
                <w:szCs w:val="18"/>
                <w:highlight w:val="none"/>
              </w:rPr>
              <w:t>来自政府部门</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sz w:val="18"/>
                <w:szCs w:val="18"/>
                <w:highlight w:val="none"/>
              </w:rPr>
            </w:pPr>
            <w:r>
              <w:rPr>
                <w:rFonts w:cs="Calibri"/>
                <w:bCs/>
                <w:color w:val="auto"/>
                <w:kern w:val="0"/>
                <w:sz w:val="18"/>
                <w:szCs w:val="18"/>
                <w:highlight w:val="none"/>
              </w:rPr>
              <w:t>QJ252</w:t>
            </w:r>
          </w:p>
        </w:tc>
        <w:tc>
          <w:tcPr>
            <w:tcW w:w="1084"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17" w:type="dxa"/>
            <w:gridSpan w:val="2"/>
            <w:tcBorders>
              <w:top w:val="single" w:color="auto" w:sz="4" w:space="0"/>
              <w:bottom w:val="single" w:color="auto" w:sz="8"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rPr>
            </w:pPr>
            <w:r>
              <w:rPr>
                <w:rFonts w:ascii="Calibri" w:hAnsi="Calibri" w:cs="Calibri"/>
                <w:bCs/>
                <w:color w:val="auto"/>
                <w:sz w:val="18"/>
                <w:szCs w:val="18"/>
                <w:highlight w:val="none"/>
              </w:rPr>
              <w:t>来自银行贷款</w:t>
            </w:r>
          </w:p>
        </w:tc>
        <w:tc>
          <w:tcPr>
            <w:tcW w:w="987" w:type="dxa"/>
            <w:tcBorders>
              <w:top w:val="single" w:color="auto" w:sz="4" w:space="0"/>
              <w:left w:val="single" w:color="auto" w:sz="4" w:space="0"/>
              <w:bottom w:val="single" w:color="auto" w:sz="8" w:space="0"/>
              <w:right w:val="single" w:color="auto" w:sz="4" w:space="0"/>
            </w:tcBorders>
            <w:noWrap w:val="0"/>
            <w:vAlign w:val="top"/>
          </w:tcPr>
          <w:p>
            <w:pPr>
              <w:spacing w:line="280" w:lineRule="exact"/>
              <w:jc w:val="center"/>
              <w:rPr>
                <w:rFonts w:ascii="Times New Roman" w:hAnsi="Times New Roman"/>
                <w:bCs/>
                <w:color w:val="auto"/>
                <w:sz w:val="18"/>
                <w:szCs w:val="18"/>
                <w:highlight w:val="none"/>
              </w:rPr>
            </w:pPr>
            <w:r>
              <w:rPr>
                <w:rFonts w:ascii="Times New Roman" w:hAnsi="Times New Roman"/>
                <w:bCs/>
                <w:color w:val="auto"/>
                <w:sz w:val="18"/>
                <w:szCs w:val="18"/>
                <w:highlight w:val="none"/>
              </w:rPr>
              <w:t>千元</w:t>
            </w:r>
          </w:p>
        </w:tc>
        <w:tc>
          <w:tcPr>
            <w:tcW w:w="992" w:type="dxa"/>
            <w:gridSpan w:val="2"/>
            <w:tcBorders>
              <w:top w:val="single" w:color="auto" w:sz="4" w:space="0"/>
              <w:left w:val="single" w:color="auto" w:sz="4" w:space="0"/>
              <w:bottom w:val="single" w:color="auto" w:sz="8" w:space="0"/>
              <w:right w:val="single" w:color="auto" w:sz="4" w:space="0"/>
            </w:tcBorders>
            <w:noWrap w:val="0"/>
            <w:vAlign w:val="top"/>
          </w:tcPr>
          <w:p>
            <w:pPr>
              <w:spacing w:line="280" w:lineRule="exact"/>
              <w:jc w:val="center"/>
              <w:rPr>
                <w:rFonts w:cs="Calibri"/>
                <w:bCs/>
                <w:color w:val="auto"/>
                <w:kern w:val="0"/>
                <w:sz w:val="18"/>
                <w:szCs w:val="18"/>
                <w:highlight w:val="none"/>
              </w:rPr>
            </w:pPr>
            <w:r>
              <w:rPr>
                <w:rFonts w:cs="Calibri"/>
                <w:bCs/>
                <w:color w:val="auto"/>
                <w:kern w:val="0"/>
                <w:sz w:val="18"/>
                <w:szCs w:val="18"/>
                <w:highlight w:val="none"/>
              </w:rPr>
              <w:t>QJ253</w:t>
            </w:r>
          </w:p>
        </w:tc>
        <w:tc>
          <w:tcPr>
            <w:tcW w:w="1084" w:type="dxa"/>
            <w:tcBorders>
              <w:top w:val="single" w:color="auto" w:sz="4" w:space="0"/>
              <w:left w:val="single" w:color="auto" w:sz="4" w:space="0"/>
              <w:bottom w:val="single" w:color="auto" w:sz="8" w:space="0"/>
              <w:right w:val="nil"/>
            </w:tcBorders>
            <w:noWrap w:val="0"/>
            <w:vAlign w:val="center"/>
          </w:tcPr>
          <w:p>
            <w:pPr>
              <w:spacing w:line="280" w:lineRule="exact"/>
              <w:jc w:val="center"/>
              <w:rPr>
                <w:rFonts w:ascii="Times New Roman" w:hAnsi="Times New Roman"/>
                <w:bCs/>
                <w:color w:val="auto"/>
                <w:sz w:val="18"/>
                <w:szCs w:val="18"/>
                <w:highlight w:val="none"/>
              </w:rPr>
            </w:pPr>
          </w:p>
        </w:tc>
      </w:tr>
    </w:tbl>
    <w:p>
      <w:pPr>
        <w:pStyle w:val="9"/>
        <w:spacing w:after="0"/>
        <w:rPr>
          <w:rFonts w:ascii="Times New Roman" w:hAnsi="Times New Roman"/>
          <w:bCs/>
          <w:color w:val="auto"/>
          <w:szCs w:val="24"/>
          <w:highlight w:val="none"/>
        </w:rPr>
      </w:pPr>
      <w:r>
        <w:rPr>
          <w:rFonts w:ascii="Times New Roman" w:hAnsi="Times New Roman"/>
          <w:bCs/>
          <w:color w:val="auto"/>
          <w:highlight w:val="none"/>
        </w:rPr>
        <w:br w:type="page"/>
      </w:r>
      <w:r>
        <w:rPr>
          <w:rFonts w:ascii="Times New Roman" w:hAnsi="Times New Roman" w:eastAsia="宋体" w:cs="Calibri"/>
          <w:bCs/>
          <w:color w:val="auto"/>
          <w:kern w:val="0"/>
          <w:sz w:val="18"/>
          <w:szCs w:val="18"/>
          <w:highlight w:val="none"/>
        </w:rPr>
        <w:t>续表一：</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82"/>
        <w:gridCol w:w="107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pPr>
              <w:widowControl/>
              <w:spacing w:line="280" w:lineRule="exact"/>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标</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名</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称</w:t>
            </w:r>
          </w:p>
        </w:tc>
        <w:tc>
          <w:tcPr>
            <w:tcW w:w="996" w:type="dxa"/>
            <w:tcBorders>
              <w:top w:val="single" w:color="auto" w:sz="8"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计量单位</w:t>
            </w:r>
          </w:p>
        </w:tc>
        <w:tc>
          <w:tcPr>
            <w:tcW w:w="982" w:type="dxa"/>
            <w:tcBorders>
              <w:top w:val="single" w:color="auto" w:sz="8"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代</w:t>
            </w:r>
            <w:r>
              <w:rPr>
                <w:rFonts w:hint="eastAsia" w:ascii="Times New Roman" w:hAnsi="Times New Roman"/>
                <w:bCs/>
                <w:color w:val="auto"/>
                <w:sz w:val="18"/>
                <w:szCs w:val="18"/>
                <w:highlight w:val="none"/>
              </w:rPr>
              <w:t xml:space="preserve"> </w:t>
            </w:r>
            <w:r>
              <w:rPr>
                <w:rFonts w:ascii="Times New Roman" w:hAnsi="Times New Roman"/>
                <w:bCs/>
                <w:color w:val="auto"/>
                <w:sz w:val="18"/>
                <w:szCs w:val="18"/>
                <w:highlight w:val="none"/>
              </w:rPr>
              <w:t>码</w:t>
            </w:r>
          </w:p>
        </w:tc>
        <w:tc>
          <w:tcPr>
            <w:tcW w:w="1077" w:type="dxa"/>
            <w:tcBorders>
              <w:top w:val="single" w:color="auto" w:sz="8"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kern w:val="0"/>
                <w:sz w:val="18"/>
                <w:szCs w:val="18"/>
                <w:highlight w:val="none"/>
              </w:rPr>
            </w:pPr>
            <w:r>
              <w:rPr>
                <w:rFonts w:cs="Calibri"/>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乙</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丙</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ascii="Calibri" w:hAnsi="Calibri" w:cs="Calibri"/>
                <w:bCs/>
                <w:color w:val="auto"/>
                <w:kern w:val="2"/>
                <w:sz w:val="18"/>
                <w:szCs w:val="18"/>
                <w:highlight w:val="none"/>
                <w:lang w:val="en-US" w:eastAsia="zh-CN" w:bidi="ar-SA"/>
              </w:rPr>
            </w:pPr>
            <w:r>
              <w:rPr>
                <w:rFonts w:ascii="Calibri" w:hAnsi="Calibri" w:cs="Calibri"/>
                <w:bCs/>
                <w:color w:val="auto"/>
                <w:sz w:val="18"/>
                <w:szCs w:val="18"/>
                <w:highlight w:val="none"/>
              </w:rPr>
              <w:t>来自风险投资</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0" w:leftChars="0" w:right="0" w:rightChars="0" w:firstLine="0" w:firstLineChars="0"/>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0" w:leftChars="0" w:right="0" w:rightChars="0" w:firstLine="0" w:firstLineChars="0"/>
              <w:jc w:val="center"/>
              <w:rPr>
                <w:rFonts w:cs="Calibri"/>
                <w:bCs/>
                <w:color w:val="auto"/>
                <w:kern w:val="0"/>
                <w:sz w:val="18"/>
                <w:szCs w:val="18"/>
                <w:highlight w:val="none"/>
                <w:lang w:val="en-US" w:eastAsia="zh-CN" w:bidi="ar-SA"/>
              </w:rPr>
            </w:pPr>
            <w:r>
              <w:rPr>
                <w:rFonts w:cs="Calibri"/>
                <w:bCs/>
                <w:color w:val="auto"/>
                <w:kern w:val="0"/>
                <w:sz w:val="18"/>
                <w:szCs w:val="18"/>
                <w:highlight w:val="none"/>
              </w:rPr>
              <w:t>QJ254</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0" w:leftChars="0" w:right="0" w:rightChars="0" w:firstLine="0" w:firstLineChars="0"/>
              <w:jc w:val="center"/>
              <w:rPr>
                <w:rFonts w:ascii="Times New Roman" w:hAnsi="Times New Roman"/>
                <w:bCs/>
                <w:color w:val="auto"/>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2"/>
                <w:sz w:val="18"/>
                <w:szCs w:val="18"/>
                <w:highlight w:val="none"/>
                <w:lang w:val="en-US" w:eastAsia="zh-CN" w:bidi="ar-SA"/>
              </w:rPr>
            </w:pPr>
            <w:r>
              <w:rPr>
                <w:rFonts w:ascii="Calibri" w:hAnsi="Calibri" w:cs="Calibri"/>
                <w:bCs/>
                <w:color w:val="auto"/>
                <w:sz w:val="18"/>
                <w:szCs w:val="18"/>
                <w:highlight w:val="none"/>
              </w:rPr>
              <w:t>来自其他渠道</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18"/>
                <w:szCs w:val="18"/>
                <w:highlight w:val="none"/>
                <w:lang w:val="en-US" w:eastAsia="zh-CN" w:bidi="ar-SA"/>
              </w:rPr>
            </w:pPr>
            <w:r>
              <w:rPr>
                <w:rFonts w:ascii="Times New Roman" w:hAnsi="Times New Roman"/>
                <w:bCs/>
                <w:color w:val="auto"/>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kern w:val="0"/>
                <w:sz w:val="18"/>
                <w:szCs w:val="18"/>
                <w:highlight w:val="none"/>
                <w:lang w:val="en-US" w:eastAsia="zh-CN" w:bidi="ar-SA"/>
              </w:rPr>
            </w:pPr>
            <w:r>
              <w:rPr>
                <w:rFonts w:cs="Calibri"/>
                <w:bCs/>
                <w:color w:val="auto"/>
                <w:kern w:val="0"/>
                <w:sz w:val="18"/>
                <w:szCs w:val="18"/>
                <w:highlight w:val="none"/>
              </w:rPr>
              <w:t>QJ255</w:t>
            </w:r>
          </w:p>
        </w:tc>
        <w:tc>
          <w:tcPr>
            <w:tcW w:w="1077"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
                <w:color w:val="auto"/>
                <w:kern w:val="0"/>
                <w:sz w:val="18"/>
                <w:szCs w:val="18"/>
                <w:highlight w:val="none"/>
                <w:lang w:val="en-US" w:eastAsia="zh-CN" w:bidi="ar-SA"/>
              </w:rPr>
            </w:pPr>
            <w:r>
              <w:rPr>
                <w:rFonts w:ascii="Calibri" w:hAnsi="Calibri" w:eastAsia="宋体" w:cs="Calibri"/>
                <w:b/>
                <w:color w:val="auto"/>
                <w:kern w:val="0"/>
                <w:sz w:val="18"/>
                <w:szCs w:val="18"/>
                <w:highlight w:val="none"/>
              </w:rPr>
              <w:t>五、</w:t>
            </w:r>
            <w:r>
              <w:rPr>
                <w:rFonts w:hint="default" w:ascii="Calibri" w:hAnsi="Calibri" w:eastAsia="宋体" w:cs="Calibri"/>
                <w:b/>
                <w:color w:val="auto"/>
                <w:kern w:val="0"/>
                <w:sz w:val="18"/>
                <w:szCs w:val="18"/>
                <w:highlight w:val="none"/>
              </w:rPr>
              <w:t>企业办研究开发机构（境内）情况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bCs/>
                <w:color w:val="auto"/>
                <w:kern w:val="2"/>
                <w:sz w:val="21"/>
                <w:szCs w:val="24"/>
                <w:highlight w:val="none"/>
                <w:lang w:val="en-US" w:eastAsia="zh-CN" w:bidi="ar-SA"/>
              </w:rPr>
            </w:pPr>
            <w:r>
              <w:rPr>
                <w:rFonts w:ascii="Times New Roman" w:hAnsi="Times New Roman"/>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cs="Calibri"/>
                <w:bCs/>
                <w:color w:val="auto"/>
                <w:kern w:val="2"/>
                <w:sz w:val="21"/>
                <w:szCs w:val="24"/>
                <w:highlight w:val="none"/>
                <w:lang w:val="en-US" w:eastAsia="zh-CN" w:bidi="ar-SA"/>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spacing w:line="280" w:lineRule="exact"/>
              <w:jc w:val="center"/>
              <w:rPr>
                <w:rFonts w:ascii="Times New Roman" w:hAnsi="Times New Roman"/>
                <w:bCs/>
                <w:color w:val="auto"/>
                <w:kern w:val="2"/>
                <w:sz w:val="21"/>
                <w:szCs w:val="24"/>
                <w:highlight w:val="none"/>
                <w:lang w:val="en-US" w:eastAsia="zh-CN" w:bidi="ar-SA"/>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期末机构数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个</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2"/>
                <w:sz w:val="21"/>
                <w:szCs w:val="24"/>
                <w:highlight w:val="none"/>
                <w:lang w:val="en-US" w:eastAsia="zh-CN" w:bidi="ar-SA"/>
              </w:rPr>
            </w:pPr>
            <w:r>
              <w:rPr>
                <w:rFonts w:cs="Calibri"/>
                <w:bCs/>
                <w:color w:val="auto"/>
                <w:kern w:val="0"/>
                <w:sz w:val="18"/>
                <w:szCs w:val="18"/>
                <w:highlight w:val="none"/>
              </w:rPr>
              <w:t>QI01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机构研究开发人员</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2"/>
                <w:sz w:val="21"/>
                <w:szCs w:val="24"/>
                <w:highlight w:val="none"/>
                <w:lang w:val="en-US" w:eastAsia="zh-CN" w:bidi="ar-SA"/>
              </w:rPr>
            </w:pPr>
            <w:r>
              <w:rPr>
                <w:rFonts w:cs="Calibri"/>
                <w:bCs/>
                <w:color w:val="auto"/>
                <w:kern w:val="0"/>
                <w:sz w:val="18"/>
                <w:szCs w:val="18"/>
                <w:highlight w:val="none"/>
              </w:rPr>
              <w:t>QI07_0</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ascii="Calibri" w:hAnsi="Calibri" w:cs="Calibri"/>
                <w:bCs/>
                <w:color w:val="auto"/>
                <w:kern w:val="0"/>
                <w:sz w:val="18"/>
                <w:szCs w:val="18"/>
                <w:highlight w:val="none"/>
                <w:lang w:val="en-US" w:eastAsia="zh-CN" w:bidi="ar-SA"/>
              </w:rPr>
            </w:pPr>
            <w:r>
              <w:rPr>
                <w:rFonts w:ascii="Calibri" w:hAnsi="Calibri" w:cs="Calibri"/>
                <w:bCs/>
                <w:color w:val="auto"/>
                <w:kern w:val="0"/>
                <w:sz w:val="18"/>
                <w:szCs w:val="18"/>
                <w:highlight w:val="none"/>
              </w:rPr>
              <w:t>其中：博士毕业</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r>
              <w:rPr>
                <w:rFonts w:ascii="Times New Roman" w:hAnsi="Times New Roman"/>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QI07_1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lang w:val="en-US" w:eastAsia="zh-CN" w:bidi="ar-SA"/>
              </w:rPr>
            </w:pPr>
            <w:r>
              <w:rPr>
                <w:rFonts w:cs="Calibri"/>
                <w:bCs/>
                <w:color w:val="auto"/>
                <w:kern w:val="0"/>
                <w:sz w:val="18"/>
                <w:szCs w:val="18"/>
                <w:highlight w:val="none"/>
              </w:rPr>
              <w:t>硕士毕业</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QI07_2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机构研究开发费用</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QI14_1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六、研究开发产出及相关情况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（一）自主知识产权情况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cs="Calibri"/>
                <w:bCs/>
                <w:color w:val="auto"/>
                <w:szCs w:val="24"/>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jc w:val="center"/>
              <w:rPr>
                <w:rFonts w:ascii="Times New Roman" w:hAnsi="Times New Roman"/>
                <w:bCs/>
                <w:color w:val="auto"/>
                <w:szCs w:val="24"/>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当年专利申请数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QJ55</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jc w:val="left"/>
              <w:rPr>
                <w:rFonts w:cs="Calibri"/>
                <w:bCs/>
                <w:color w:val="auto"/>
                <w:kern w:val="0"/>
                <w:sz w:val="18"/>
                <w:szCs w:val="18"/>
                <w:highlight w:val="none"/>
              </w:rPr>
            </w:pPr>
            <w:r>
              <w:rPr>
                <w:rFonts w:cs="Calibri"/>
                <w:bCs/>
                <w:color w:val="auto"/>
                <w:kern w:val="0"/>
                <w:sz w:val="18"/>
                <w:szCs w:val="18"/>
                <w:highlight w:val="none"/>
              </w:rPr>
              <w:t>其中：申请发明专利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QJ56</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jc w:val="left"/>
              <w:rPr>
                <w:rFonts w:cs="Calibri"/>
                <w:bCs/>
                <w:color w:val="auto"/>
                <w:kern w:val="0"/>
                <w:sz w:val="18"/>
                <w:szCs w:val="18"/>
                <w:highlight w:val="none"/>
              </w:rPr>
            </w:pPr>
            <w:r>
              <w:rPr>
                <w:rFonts w:cs="Calibri"/>
                <w:bCs/>
                <w:color w:val="auto"/>
                <w:kern w:val="0"/>
                <w:sz w:val="18"/>
                <w:szCs w:val="18"/>
                <w:highlight w:val="none"/>
              </w:rPr>
              <w:t>其中：申请国内发明专利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QJ56_1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其中：申请欧美日专利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szCs w:val="24"/>
                <w:highlight w:val="none"/>
              </w:rPr>
            </w:pPr>
            <w:r>
              <w:rPr>
                <w:rFonts w:cs="Calibri"/>
                <w:bCs/>
                <w:color w:val="auto"/>
                <w:kern w:val="0"/>
                <w:sz w:val="18"/>
                <w:szCs w:val="18"/>
                <w:highlight w:val="none"/>
              </w:rPr>
              <w:t>QJ55_1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其中：申请PCT国际专利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QJ55_2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当年专利授权数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QJ74</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其中：授权发明专利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QJ57</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其中：授权国内发明专利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QJ57_1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其中：授权欧美日专利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QJ75</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期末拥有有效专利数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其中：拥有境外授权专利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QJ83_1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其中：拥有欧美日专利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QJ82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其中：拥有发明专利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rPr>
            </w:pPr>
            <w:r>
              <w:rPr>
                <w:rFonts w:cs="Calibri"/>
                <w:bCs/>
                <w:color w:val="auto"/>
                <w:kern w:val="0"/>
                <w:sz w:val="18"/>
                <w:szCs w:val="18"/>
                <w:highlight w:val="none"/>
              </w:rPr>
              <w:t>其中：境外授权发明专利</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QJ73_1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专利所有权转让及许可数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QI23</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专利所有权转让及许可收入</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QI24</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（二）新产品情况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新产品产值</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QJ70</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新产品销售收入</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QJ71</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rPr>
            </w:pPr>
            <w:r>
              <w:rPr>
                <w:rFonts w:cs="Calibri"/>
                <w:bCs/>
                <w:color w:val="auto"/>
                <w:kern w:val="0"/>
                <w:sz w:val="18"/>
                <w:szCs w:val="18"/>
                <w:highlight w:val="none"/>
              </w:rPr>
              <w:t>其中：出口</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千元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QJ72</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
                <w:color w:val="auto"/>
                <w:kern w:val="0"/>
                <w:sz w:val="18"/>
                <w:szCs w:val="18"/>
                <w:highlight w:val="none"/>
              </w:rPr>
            </w:pPr>
            <w:r>
              <w:rPr>
                <w:rFonts w:cs="Calibri"/>
                <w:b/>
                <w:color w:val="auto"/>
                <w:kern w:val="0"/>
                <w:sz w:val="18"/>
                <w:szCs w:val="18"/>
                <w:highlight w:val="none"/>
              </w:rPr>
              <w:t>（三）其他情况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w:t>
            </w:r>
          </w:p>
        </w:tc>
        <w:tc>
          <w:tcPr>
            <w:tcW w:w="1077"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r>
              <w:rPr>
                <w:rFonts w:ascii="Times New Roman" w:hAnsi="Times New Roman"/>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6332" w:type="dxa"/>
            <w:tcBorders>
              <w:top w:val="single" w:color="auto" w:sz="4" w:space="0"/>
              <w:bottom w:val="single" w:color="auto" w:sz="8" w:space="0"/>
              <w:right w:val="single" w:color="auto" w:sz="4" w:space="0"/>
            </w:tcBorders>
            <w:noWrap w:val="0"/>
            <w:vAlign w:val="center"/>
          </w:tcPr>
          <w:p>
            <w:pPr>
              <w:widowControl/>
              <w:spacing w:line="280" w:lineRule="exact"/>
              <w:rPr>
                <w:rFonts w:cs="Calibri"/>
                <w:bCs/>
                <w:color w:val="auto"/>
                <w:kern w:val="0"/>
                <w:sz w:val="18"/>
                <w:szCs w:val="18"/>
                <w:highlight w:val="none"/>
              </w:rPr>
            </w:pPr>
            <w:r>
              <w:rPr>
                <w:rFonts w:cs="Calibri"/>
                <w:bCs/>
                <w:color w:val="auto"/>
                <w:kern w:val="0"/>
                <w:sz w:val="18"/>
                <w:szCs w:val="18"/>
                <w:highlight w:val="none"/>
              </w:rPr>
              <w:t>发表科技论文</w:t>
            </w:r>
          </w:p>
        </w:tc>
        <w:tc>
          <w:tcPr>
            <w:tcW w:w="996" w:type="dxa"/>
            <w:tcBorders>
              <w:top w:val="single" w:color="auto" w:sz="4" w:space="0"/>
              <w:left w:val="single" w:color="auto" w:sz="4" w:space="0"/>
              <w:bottom w:val="single" w:color="auto" w:sz="8"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篇</w:t>
            </w:r>
          </w:p>
        </w:tc>
        <w:tc>
          <w:tcPr>
            <w:tcW w:w="982" w:type="dxa"/>
            <w:tcBorders>
              <w:top w:val="single" w:color="auto" w:sz="4" w:space="0"/>
              <w:left w:val="single" w:color="auto" w:sz="4" w:space="0"/>
              <w:bottom w:val="single" w:color="auto" w:sz="8"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rPr>
            </w:pPr>
            <w:r>
              <w:rPr>
                <w:rFonts w:cs="Calibri"/>
                <w:bCs/>
                <w:color w:val="auto"/>
                <w:kern w:val="0"/>
                <w:sz w:val="18"/>
                <w:szCs w:val="18"/>
                <w:highlight w:val="none"/>
              </w:rPr>
              <w:t>QI25</w:t>
            </w:r>
          </w:p>
        </w:tc>
        <w:tc>
          <w:tcPr>
            <w:tcW w:w="1077" w:type="dxa"/>
            <w:tcBorders>
              <w:top w:val="single" w:color="auto" w:sz="4" w:space="0"/>
              <w:left w:val="single" w:color="auto" w:sz="4" w:space="0"/>
              <w:bottom w:val="single" w:color="auto" w:sz="8"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rPr>
            </w:pPr>
          </w:p>
        </w:tc>
      </w:tr>
    </w:tbl>
    <w:p>
      <w:pPr>
        <w:rPr>
          <w:bCs/>
          <w:color w:val="auto"/>
          <w:highlight w:val="none"/>
        </w:rPr>
      </w:pPr>
      <w:r>
        <w:rPr>
          <w:bCs/>
          <w:color w:val="auto"/>
          <w:kern w:val="0"/>
          <w:sz w:val="18"/>
          <w:szCs w:val="18"/>
          <w:highlight w:val="none"/>
        </w:rPr>
        <w:t>续表二：</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95"/>
        <w:gridCol w:w="10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sz w:val="18"/>
                <w:szCs w:val="18"/>
                <w:highlight w:val="none"/>
              </w:rPr>
              <w:t>指 标 名 称</w:t>
            </w:r>
          </w:p>
        </w:tc>
        <w:tc>
          <w:tcPr>
            <w:tcW w:w="996"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sz w:val="18"/>
                <w:szCs w:val="18"/>
                <w:highlight w:val="none"/>
              </w:rPr>
              <w:t>计量单位</w:t>
            </w:r>
          </w:p>
        </w:tc>
        <w:tc>
          <w:tcPr>
            <w:tcW w:w="995" w:type="dxa"/>
            <w:tcBorders>
              <w:top w:val="single" w:color="auto" w:sz="8"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sz w:val="18"/>
                <w:szCs w:val="18"/>
                <w:highlight w:val="none"/>
              </w:rPr>
              <w:t>代码</w:t>
            </w:r>
          </w:p>
        </w:tc>
        <w:tc>
          <w:tcPr>
            <w:tcW w:w="1050" w:type="dxa"/>
            <w:tcBorders>
              <w:top w:val="single" w:color="auto" w:sz="8" w:space="0"/>
              <w:left w:val="single" w:color="auto" w:sz="4" w:space="0"/>
              <w:bottom w:val="single" w:color="auto" w:sz="4" w:space="0"/>
              <w:right w:val="nil"/>
            </w:tcBorders>
            <w:noWrap w:val="0"/>
            <w:vAlign w:val="center"/>
          </w:tcPr>
          <w:p>
            <w:pPr>
              <w:spacing w:line="280" w:lineRule="exact"/>
              <w:jc w:val="center"/>
              <w:rPr>
                <w:bCs/>
                <w:color w:val="auto"/>
                <w:sz w:val="18"/>
                <w:szCs w:val="18"/>
                <w:highlight w:val="none"/>
              </w:rPr>
            </w:pPr>
            <w:r>
              <w:rPr>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center"/>
              <w:rPr>
                <w:bCs/>
                <w:color w:val="auto"/>
                <w:kern w:val="0"/>
                <w:sz w:val="18"/>
                <w:szCs w:val="18"/>
                <w:highlight w:val="none"/>
              </w:rPr>
            </w:pPr>
            <w:r>
              <w:rPr>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乙</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丙</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期末拥有注册商标</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QJ77</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其中：境外注册商标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900" w:firstLineChars="500"/>
              <w:rPr>
                <w:rFonts w:cs="Calibri"/>
                <w:bCs/>
                <w:color w:val="auto"/>
                <w:kern w:val="0"/>
                <w:sz w:val="18"/>
                <w:szCs w:val="18"/>
                <w:highlight w:val="none"/>
                <w:lang w:val="en-US" w:eastAsia="zh-CN" w:bidi="ar-SA"/>
              </w:rPr>
            </w:pPr>
            <w:r>
              <w:rPr>
                <w:rFonts w:cs="Calibri"/>
                <w:bCs/>
                <w:color w:val="auto"/>
                <w:kern w:val="0"/>
                <w:sz w:val="18"/>
                <w:szCs w:val="18"/>
                <w:highlight w:val="none"/>
              </w:rPr>
              <w:t>其中：当年境外注册商标</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QJ79_2</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拥有软件著作权</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QJ85</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其中：当年获得软件著作权</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QJ85_1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拥有集成电路布图</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QJ86</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其中：当年获得集成电路布图</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QJ86_1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拥有植物新品种</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QJ87</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其中：当年获得植物新品种</w:t>
            </w:r>
          </w:p>
        </w:tc>
        <w:tc>
          <w:tcPr>
            <w:tcW w:w="996"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QJ87_1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rFonts w:cs="Calibri"/>
                <w:bCs/>
                <w:color w:val="auto"/>
                <w:kern w:val="0"/>
                <w:sz w:val="18"/>
                <w:szCs w:val="18"/>
                <w:highlight w:val="none"/>
                <w:lang w:val="en-US" w:eastAsia="zh-CN" w:bidi="ar-SA"/>
              </w:rPr>
            </w:pPr>
            <w:r>
              <w:rPr>
                <w:rFonts w:cs="Calibri"/>
                <w:bCs/>
                <w:color w:val="auto"/>
                <w:kern w:val="0"/>
                <w:sz w:val="18"/>
                <w:szCs w:val="18"/>
                <w:highlight w:val="none"/>
              </w:rPr>
              <w:t>拥有国家一类新药品种</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QJ101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rFonts w:ascii="Times New Roman" w:hAnsi="Times New Roman"/>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rFonts w:cs="Calibri"/>
                <w:bCs/>
                <w:color w:val="auto"/>
                <w:kern w:val="0"/>
                <w:sz w:val="18"/>
                <w:szCs w:val="18"/>
                <w:highlight w:val="none"/>
                <w:lang w:val="en-US" w:eastAsia="zh-CN" w:bidi="ar-SA"/>
              </w:rPr>
            </w:pPr>
            <w:r>
              <w:rPr>
                <w:rFonts w:cs="Calibri"/>
                <w:bCs/>
                <w:color w:val="auto"/>
                <w:kern w:val="0"/>
                <w:sz w:val="18"/>
                <w:szCs w:val="18"/>
                <w:highlight w:val="none"/>
              </w:rPr>
              <w:t>其中：当年获得国家一类新药证书</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rFonts w:cs="Calibri"/>
                <w:bCs/>
                <w:color w:val="auto"/>
                <w:kern w:val="0"/>
                <w:sz w:val="18"/>
                <w:szCs w:val="18"/>
                <w:highlight w:val="none"/>
                <w:lang w:val="en-US" w:eastAsia="zh-CN" w:bidi="ar-SA"/>
              </w:rPr>
            </w:pPr>
            <w:r>
              <w:rPr>
                <w:rFonts w:cs="Calibri"/>
                <w:bCs/>
                <w:color w:val="auto"/>
                <w:kern w:val="0"/>
                <w:sz w:val="18"/>
                <w:szCs w:val="18"/>
                <w:highlight w:val="none"/>
              </w:rPr>
              <w:t>QJ101_1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lang w:val="en-US" w:eastAsia="zh-CN" w:bidi="ar-SA"/>
              </w:rPr>
            </w:pPr>
            <w:r>
              <w:rPr>
                <w:bCs/>
                <w:color w:val="auto"/>
                <w:kern w:val="0"/>
                <w:sz w:val="18"/>
                <w:szCs w:val="18"/>
                <w:highlight w:val="none"/>
              </w:rPr>
              <w:t>拥有国家一级中药保护品种</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QJ100</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其中：当年获得国家一级中药保护品种证书</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件</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QJ100_1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累计形成国际标准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QJ98</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其中：当年形成国际标准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QJ98_1</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累计形成国家或行业标准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QI27</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其中：当年形成国家或行业标准</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QI27_1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hint="default"/>
                <w:bCs/>
                <w:color w:val="auto"/>
                <w:kern w:val="0"/>
                <w:sz w:val="18"/>
                <w:szCs w:val="18"/>
                <w:highlight w:val="none"/>
                <w:lang w:val="en-US" w:eastAsia="zh-CN"/>
              </w:rPr>
            </w:pPr>
            <w:r>
              <w:rPr>
                <w:rFonts w:hint="eastAsia"/>
                <w:bCs/>
                <w:color w:val="auto"/>
                <w:kern w:val="0"/>
                <w:sz w:val="18"/>
                <w:szCs w:val="18"/>
                <w:highlight w:val="none"/>
                <w:lang w:val="en-US" w:eastAsia="zh-CN"/>
              </w:rPr>
              <w:t>近两年承担建设省级及以上研发或创新平台数量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QI29</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近两年获得省级及以上科技奖励数量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QI30</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0" w:firstLineChars="0"/>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近两年承担省级及以上科技计划项目数量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eastAsia="宋体"/>
                <w:bCs/>
                <w:color w:val="auto"/>
                <w:kern w:val="0"/>
                <w:sz w:val="18"/>
                <w:szCs w:val="18"/>
                <w:highlight w:val="none"/>
                <w:lang w:val="en-US" w:eastAsia="zh-CN"/>
              </w:rPr>
            </w:pPr>
            <w:r>
              <w:rPr>
                <w:rFonts w:hint="eastAsia"/>
                <w:bCs/>
                <w:color w:val="auto"/>
                <w:kern w:val="0"/>
                <w:sz w:val="18"/>
                <w:szCs w:val="18"/>
                <w:highlight w:val="none"/>
                <w:lang w:val="en-US" w:eastAsia="zh-CN"/>
              </w:rPr>
              <w:t>QI31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
                <w:color w:val="auto"/>
                <w:kern w:val="0"/>
                <w:sz w:val="18"/>
                <w:szCs w:val="18"/>
                <w:highlight w:val="none"/>
              </w:rPr>
            </w:pPr>
            <w:r>
              <w:rPr>
                <w:b/>
                <w:color w:val="auto"/>
                <w:kern w:val="0"/>
                <w:sz w:val="18"/>
                <w:szCs w:val="18"/>
                <w:highlight w:val="none"/>
              </w:rPr>
              <w:t>七、技术合同交易情况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认定登记的技术合同项数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其中：从境外引进技术合同数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QJ80_2</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其中：向境外输出技术合同数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QJ80_3</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认定登记的技术合同成交金额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w:t>
            </w:r>
          </w:p>
        </w:tc>
        <w:tc>
          <w:tcPr>
            <w:tcW w:w="1050" w:type="dxa"/>
            <w:tcBorders>
              <w:top w:val="single" w:color="auto" w:sz="4" w:space="0"/>
              <w:left w:val="single" w:color="auto" w:sz="4" w:space="0"/>
              <w:bottom w:val="single" w:color="auto" w:sz="2"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其中：从境外引进技术合同成交金额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QJ80_4</w:t>
            </w:r>
          </w:p>
        </w:tc>
        <w:tc>
          <w:tcPr>
            <w:tcW w:w="1050" w:type="dxa"/>
            <w:tcBorders>
              <w:top w:val="single" w:color="auto" w:sz="4" w:space="0"/>
              <w:left w:val="single" w:color="auto" w:sz="4" w:space="0"/>
              <w:bottom w:val="single" w:color="auto" w:sz="2"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2" w:space="0"/>
              <w:right w:val="single" w:color="auto" w:sz="4" w:space="0"/>
            </w:tcBorders>
            <w:noWrap w:val="0"/>
            <w:vAlign w:val="center"/>
          </w:tcPr>
          <w:p>
            <w:pPr>
              <w:widowControl/>
              <w:spacing w:line="280" w:lineRule="exact"/>
              <w:ind w:firstLine="360" w:firstLineChars="200"/>
              <w:rPr>
                <w:bCs/>
                <w:color w:val="auto"/>
                <w:kern w:val="0"/>
                <w:sz w:val="18"/>
                <w:szCs w:val="18"/>
                <w:highlight w:val="none"/>
              </w:rPr>
            </w:pPr>
            <w:r>
              <w:rPr>
                <w:bCs/>
                <w:color w:val="auto"/>
                <w:kern w:val="0"/>
                <w:sz w:val="18"/>
                <w:szCs w:val="18"/>
                <w:highlight w:val="none"/>
              </w:rPr>
              <w:t>其中：向境外输出技术合同成交金额</w:t>
            </w:r>
          </w:p>
        </w:tc>
        <w:tc>
          <w:tcPr>
            <w:tcW w:w="996"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2"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QJ80_5</w:t>
            </w:r>
          </w:p>
        </w:tc>
        <w:tc>
          <w:tcPr>
            <w:tcW w:w="1050" w:type="dxa"/>
            <w:tcBorders>
              <w:top w:val="single" w:color="auto" w:sz="4" w:space="0"/>
              <w:left w:val="single" w:color="auto" w:sz="4" w:space="0"/>
              <w:bottom w:val="single" w:color="auto" w:sz="2"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2" w:space="0"/>
              <w:bottom w:val="single" w:color="auto" w:sz="4" w:space="0"/>
              <w:right w:val="single" w:color="auto" w:sz="4" w:space="0"/>
            </w:tcBorders>
            <w:noWrap w:val="0"/>
            <w:vAlign w:val="center"/>
          </w:tcPr>
          <w:p>
            <w:pPr>
              <w:widowControl/>
              <w:spacing w:line="280" w:lineRule="exact"/>
              <w:rPr>
                <w:b/>
                <w:color w:val="auto"/>
                <w:kern w:val="0"/>
                <w:sz w:val="18"/>
                <w:szCs w:val="18"/>
                <w:highlight w:val="none"/>
              </w:rPr>
            </w:pPr>
            <w:r>
              <w:rPr>
                <w:b/>
                <w:color w:val="auto"/>
                <w:kern w:val="0"/>
                <w:sz w:val="18"/>
                <w:szCs w:val="18"/>
                <w:highlight w:val="none"/>
              </w:rPr>
              <w:t>八、其他相关情况</w:t>
            </w:r>
          </w:p>
        </w:tc>
        <w:tc>
          <w:tcPr>
            <w:tcW w:w="996" w:type="dxa"/>
            <w:tcBorders>
              <w:top w:val="single" w:color="auto" w:sz="2"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kern w:val="0"/>
                <w:sz w:val="18"/>
                <w:szCs w:val="18"/>
                <w:highlight w:val="none"/>
              </w:rPr>
              <w:t>—</w:t>
            </w:r>
          </w:p>
        </w:tc>
        <w:tc>
          <w:tcPr>
            <w:tcW w:w="995" w:type="dxa"/>
            <w:tcBorders>
              <w:top w:val="single" w:color="auto" w:sz="2" w:space="0"/>
              <w:left w:val="single" w:color="auto" w:sz="4" w:space="0"/>
              <w:bottom w:val="single" w:color="auto" w:sz="4" w:space="0"/>
              <w:right w:val="single" w:color="auto" w:sz="4" w:space="0"/>
            </w:tcBorders>
            <w:noWrap w:val="0"/>
            <w:vAlign w:val="center"/>
          </w:tcPr>
          <w:p>
            <w:pPr>
              <w:spacing w:line="280" w:lineRule="exact"/>
              <w:jc w:val="center"/>
              <w:rPr>
                <w:bCs/>
                <w:color w:val="auto"/>
                <w:sz w:val="18"/>
                <w:szCs w:val="18"/>
                <w:highlight w:val="none"/>
              </w:rPr>
            </w:pPr>
            <w:r>
              <w:rPr>
                <w:bCs/>
                <w:color w:val="auto"/>
                <w:kern w:val="0"/>
                <w:sz w:val="18"/>
                <w:szCs w:val="18"/>
                <w:highlight w:val="none"/>
              </w:rPr>
              <w:t>—</w:t>
            </w:r>
          </w:p>
        </w:tc>
        <w:tc>
          <w:tcPr>
            <w:tcW w:w="1050" w:type="dxa"/>
            <w:tcBorders>
              <w:top w:val="single" w:color="auto" w:sz="2" w:space="0"/>
              <w:left w:val="single" w:color="auto" w:sz="4" w:space="0"/>
              <w:bottom w:val="single" w:color="auto" w:sz="4" w:space="0"/>
              <w:right w:val="nil"/>
            </w:tcBorders>
            <w:noWrap w:val="0"/>
            <w:vAlign w:val="center"/>
          </w:tcPr>
          <w:p>
            <w:pPr>
              <w:spacing w:line="280" w:lineRule="exact"/>
              <w:jc w:val="center"/>
              <w:rPr>
                <w:bCs/>
                <w:color w:val="auto"/>
                <w:sz w:val="18"/>
                <w:szCs w:val="18"/>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
                <w:bCs/>
                <w:color w:val="auto"/>
                <w:kern w:val="0"/>
                <w:sz w:val="18"/>
                <w:szCs w:val="18"/>
                <w:highlight w:val="none"/>
              </w:rPr>
            </w:pPr>
            <w:r>
              <w:rPr>
                <w:b/>
                <w:bCs/>
                <w:color w:val="auto"/>
                <w:kern w:val="0"/>
                <w:sz w:val="18"/>
                <w:szCs w:val="18"/>
                <w:highlight w:val="none"/>
              </w:rPr>
              <w:t>（一）技术改造和技术获取情况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szCs w:val="24"/>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技术改造经费支出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szCs w:val="24"/>
                <w:highlight w:val="none"/>
              </w:rPr>
            </w:pPr>
            <w:r>
              <w:rPr>
                <w:bCs/>
                <w:color w:val="auto"/>
                <w:kern w:val="0"/>
                <w:sz w:val="18"/>
                <w:szCs w:val="18"/>
                <w:highlight w:val="none"/>
              </w:rPr>
              <w:t>QJ58</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8" w:hRule="atLeast"/>
          <w:jc w:val="center"/>
        </w:trPr>
        <w:tc>
          <w:tcPr>
            <w:tcW w:w="6332" w:type="dxa"/>
            <w:tcBorders>
              <w:top w:val="single" w:color="auto" w:sz="4" w:space="0"/>
              <w:bottom w:val="single" w:color="auto" w:sz="8"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购买境内技术经费支出</w:t>
            </w:r>
          </w:p>
        </w:tc>
        <w:tc>
          <w:tcPr>
            <w:tcW w:w="996" w:type="dxa"/>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8" w:space="0"/>
              <w:right w:val="single" w:color="auto" w:sz="4" w:space="0"/>
            </w:tcBorders>
            <w:noWrap w:val="0"/>
            <w:vAlign w:val="center"/>
          </w:tcPr>
          <w:p>
            <w:pPr>
              <w:spacing w:line="280" w:lineRule="exact"/>
              <w:jc w:val="center"/>
              <w:rPr>
                <w:bCs/>
                <w:color w:val="auto"/>
                <w:kern w:val="0"/>
                <w:sz w:val="18"/>
                <w:szCs w:val="18"/>
                <w:highlight w:val="none"/>
              </w:rPr>
            </w:pPr>
            <w:r>
              <w:rPr>
                <w:bCs/>
                <w:color w:val="auto"/>
                <w:kern w:val="0"/>
                <w:sz w:val="18"/>
                <w:szCs w:val="18"/>
                <w:highlight w:val="none"/>
              </w:rPr>
              <w:t>QJ62</w:t>
            </w:r>
          </w:p>
        </w:tc>
        <w:tc>
          <w:tcPr>
            <w:tcW w:w="1050" w:type="dxa"/>
            <w:tcBorders>
              <w:top w:val="single" w:color="auto" w:sz="4" w:space="0"/>
              <w:left w:val="single" w:color="auto" w:sz="4" w:space="0"/>
              <w:bottom w:val="single" w:color="auto" w:sz="8" w:space="0"/>
              <w:right w:val="nil"/>
            </w:tcBorders>
            <w:noWrap w:val="0"/>
            <w:vAlign w:val="center"/>
          </w:tcPr>
          <w:p>
            <w:pPr>
              <w:spacing w:line="280" w:lineRule="exact"/>
              <w:jc w:val="center"/>
              <w:rPr>
                <w:bCs/>
                <w:color w:val="auto"/>
                <w:kern w:val="0"/>
                <w:sz w:val="18"/>
                <w:szCs w:val="18"/>
                <w:highlight w:val="none"/>
              </w:rPr>
            </w:pPr>
          </w:p>
        </w:tc>
      </w:tr>
    </w:tbl>
    <w:p>
      <w:pPr>
        <w:rPr>
          <w:rFonts w:hint="eastAsia" w:eastAsia="宋体"/>
          <w:color w:val="auto"/>
          <w:sz w:val="18"/>
          <w:szCs w:val="20"/>
          <w:highlight w:val="none"/>
          <w:lang w:eastAsia="zh-CN"/>
        </w:rPr>
      </w:pPr>
      <w:r>
        <w:rPr>
          <w:rFonts w:hint="eastAsia"/>
          <w:color w:val="auto"/>
          <w:sz w:val="18"/>
          <w:szCs w:val="20"/>
          <w:highlight w:val="none"/>
          <w:lang w:eastAsia="zh-CN"/>
        </w:rPr>
        <w:t>续表三：</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332"/>
        <w:gridCol w:w="996"/>
        <w:gridCol w:w="995"/>
        <w:gridCol w:w="10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8" w:space="0"/>
              <w:bottom w:val="single" w:color="auto" w:sz="4" w:space="0"/>
              <w:right w:val="single" w:color="auto" w:sz="4" w:space="0"/>
            </w:tcBorders>
            <w:noWrap w:val="0"/>
            <w:vAlign w:val="center"/>
          </w:tcPr>
          <w:p>
            <w:pPr>
              <w:widowControl/>
              <w:spacing w:line="280" w:lineRule="exact"/>
              <w:jc w:val="center"/>
              <w:rPr>
                <w:bCs/>
                <w:color w:val="auto"/>
                <w:kern w:val="2"/>
                <w:sz w:val="18"/>
                <w:szCs w:val="18"/>
                <w:highlight w:val="none"/>
                <w:lang w:val="en-US" w:eastAsia="zh-CN" w:bidi="ar-SA"/>
              </w:rPr>
            </w:pPr>
            <w:r>
              <w:rPr>
                <w:bCs/>
                <w:color w:val="auto"/>
                <w:sz w:val="18"/>
                <w:szCs w:val="18"/>
                <w:highlight w:val="none"/>
              </w:rPr>
              <w:t>指 标 名 称</w:t>
            </w:r>
          </w:p>
        </w:tc>
        <w:tc>
          <w:tcPr>
            <w:tcW w:w="996" w:type="dxa"/>
            <w:tcBorders>
              <w:top w:val="single" w:color="auto" w:sz="8" w:space="0"/>
              <w:left w:val="single" w:color="auto" w:sz="4" w:space="0"/>
              <w:bottom w:val="single" w:color="auto" w:sz="4" w:space="0"/>
              <w:right w:val="single" w:color="auto" w:sz="4" w:space="0"/>
            </w:tcBorders>
            <w:noWrap w:val="0"/>
            <w:vAlign w:val="center"/>
          </w:tcPr>
          <w:p>
            <w:pPr>
              <w:spacing w:line="280" w:lineRule="exact"/>
              <w:ind w:left="0" w:leftChars="0" w:right="0" w:rightChars="0" w:firstLine="0" w:firstLineChars="0"/>
              <w:jc w:val="center"/>
              <w:rPr>
                <w:bCs/>
                <w:color w:val="auto"/>
                <w:kern w:val="2"/>
                <w:sz w:val="18"/>
                <w:szCs w:val="18"/>
                <w:highlight w:val="none"/>
                <w:lang w:val="en-US" w:eastAsia="zh-CN" w:bidi="ar-SA"/>
              </w:rPr>
            </w:pPr>
            <w:r>
              <w:rPr>
                <w:bCs/>
                <w:color w:val="auto"/>
                <w:sz w:val="18"/>
                <w:szCs w:val="18"/>
                <w:highlight w:val="none"/>
              </w:rPr>
              <w:t>计量单位</w:t>
            </w:r>
          </w:p>
        </w:tc>
        <w:tc>
          <w:tcPr>
            <w:tcW w:w="995" w:type="dxa"/>
            <w:tcBorders>
              <w:top w:val="single" w:color="auto" w:sz="8" w:space="0"/>
              <w:left w:val="single" w:color="auto" w:sz="4" w:space="0"/>
              <w:bottom w:val="single" w:color="auto" w:sz="4" w:space="0"/>
              <w:right w:val="single" w:color="auto" w:sz="4" w:space="0"/>
            </w:tcBorders>
            <w:noWrap w:val="0"/>
            <w:vAlign w:val="center"/>
          </w:tcPr>
          <w:p>
            <w:pPr>
              <w:spacing w:line="280" w:lineRule="exact"/>
              <w:ind w:left="0" w:leftChars="0" w:right="0" w:rightChars="0" w:firstLine="0" w:firstLineChars="0"/>
              <w:jc w:val="center"/>
              <w:rPr>
                <w:bCs/>
                <w:color w:val="auto"/>
                <w:kern w:val="2"/>
                <w:sz w:val="21"/>
                <w:szCs w:val="24"/>
                <w:highlight w:val="none"/>
                <w:lang w:val="en-US" w:eastAsia="zh-CN" w:bidi="ar-SA"/>
              </w:rPr>
            </w:pPr>
            <w:r>
              <w:rPr>
                <w:bCs/>
                <w:color w:val="auto"/>
                <w:sz w:val="18"/>
                <w:szCs w:val="18"/>
                <w:highlight w:val="none"/>
              </w:rPr>
              <w:t>代码</w:t>
            </w:r>
          </w:p>
        </w:tc>
        <w:tc>
          <w:tcPr>
            <w:tcW w:w="1050" w:type="dxa"/>
            <w:tcBorders>
              <w:top w:val="single" w:color="auto" w:sz="8" w:space="0"/>
              <w:left w:val="single" w:color="auto" w:sz="4" w:space="0"/>
              <w:bottom w:val="single" w:color="auto" w:sz="4" w:space="0"/>
              <w:right w:val="nil"/>
            </w:tcBorders>
            <w:noWrap w:val="0"/>
            <w:vAlign w:val="center"/>
          </w:tcPr>
          <w:p>
            <w:pPr>
              <w:spacing w:line="280" w:lineRule="exact"/>
              <w:ind w:left="0" w:leftChars="0" w:right="0" w:rightChars="0" w:firstLine="0" w:firstLineChars="0"/>
              <w:jc w:val="center"/>
              <w:rPr>
                <w:bCs/>
                <w:color w:val="auto"/>
                <w:kern w:val="2"/>
                <w:sz w:val="18"/>
                <w:szCs w:val="18"/>
                <w:highlight w:val="none"/>
                <w:lang w:val="en-US" w:eastAsia="zh-CN" w:bidi="ar-SA"/>
              </w:rPr>
            </w:pPr>
            <w:r>
              <w:rPr>
                <w:bCs/>
                <w:color w:val="auto"/>
                <w:sz w:val="18"/>
                <w:szCs w:val="18"/>
                <w:highlight w:val="none"/>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jc w:val="center"/>
              <w:rPr>
                <w:bCs/>
                <w:color w:val="auto"/>
                <w:kern w:val="0"/>
                <w:sz w:val="18"/>
                <w:szCs w:val="18"/>
                <w:highlight w:val="none"/>
                <w:lang w:val="en-US" w:eastAsia="zh-CN" w:bidi="ar-SA"/>
              </w:rPr>
            </w:pPr>
            <w:r>
              <w:rPr>
                <w:bCs/>
                <w:color w:val="auto"/>
                <w:kern w:val="0"/>
                <w:sz w:val="18"/>
                <w:szCs w:val="18"/>
                <w:highlight w:val="none"/>
              </w:rPr>
              <w:t>甲</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lang w:val="en-US" w:eastAsia="zh-CN" w:bidi="ar-SA"/>
              </w:rPr>
            </w:pPr>
            <w:r>
              <w:rPr>
                <w:bCs/>
                <w:color w:val="auto"/>
                <w:kern w:val="0"/>
                <w:sz w:val="18"/>
                <w:szCs w:val="18"/>
                <w:highlight w:val="none"/>
              </w:rPr>
              <w:t>乙</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color w:val="auto"/>
                <w:kern w:val="0"/>
                <w:sz w:val="18"/>
                <w:szCs w:val="18"/>
                <w:highlight w:val="none"/>
                <w:lang w:val="en-US" w:eastAsia="zh-CN" w:bidi="ar-SA"/>
              </w:rPr>
            </w:pPr>
            <w:r>
              <w:rPr>
                <w:bCs/>
                <w:color w:val="auto"/>
                <w:kern w:val="0"/>
                <w:sz w:val="18"/>
                <w:szCs w:val="18"/>
                <w:highlight w:val="none"/>
              </w:rPr>
              <w:t>丙</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jc w:val="center"/>
              <w:rPr>
                <w:bCs/>
                <w:color w:val="auto"/>
                <w:kern w:val="0"/>
                <w:sz w:val="18"/>
                <w:szCs w:val="18"/>
                <w:highlight w:val="none"/>
                <w:lang w:val="en-US" w:eastAsia="zh-CN" w:bidi="ar-SA"/>
              </w:rPr>
            </w:pPr>
            <w:r>
              <w:rPr>
                <w:bCs/>
                <w:color w:val="auto"/>
                <w:kern w:val="0"/>
                <w:sz w:val="18"/>
                <w:szCs w:val="18"/>
                <w:highlight w:val="none"/>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lang w:val="en-US" w:eastAsia="zh-CN" w:bidi="ar-SA"/>
              </w:rPr>
            </w:pPr>
            <w:r>
              <w:rPr>
                <w:bCs/>
                <w:color w:val="auto"/>
                <w:kern w:val="0"/>
                <w:sz w:val="18"/>
                <w:szCs w:val="18"/>
                <w:highlight w:val="none"/>
              </w:rPr>
              <w:t>引进境外技术经费支出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lang w:val="en-US" w:eastAsia="zh-CN" w:bidi="ar-SA"/>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2"/>
                <w:sz w:val="21"/>
                <w:szCs w:val="24"/>
                <w:highlight w:val="none"/>
                <w:lang w:val="en-US" w:eastAsia="zh-CN" w:bidi="ar-SA"/>
              </w:rPr>
            </w:pPr>
            <w:r>
              <w:rPr>
                <w:bCs/>
                <w:color w:val="auto"/>
                <w:kern w:val="0"/>
                <w:sz w:val="18"/>
                <w:szCs w:val="18"/>
                <w:highlight w:val="none"/>
              </w:rPr>
              <w:t>QJ59</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引进境外技术的消化吸收经费支出</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千元</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 w:leftChars="-50" w:right="-105" w:rightChars="-50" w:hanging="104" w:hangingChars="58"/>
              <w:jc w:val="center"/>
              <w:rPr>
                <w:bCs/>
                <w:color w:val="auto"/>
                <w:szCs w:val="24"/>
                <w:highlight w:val="none"/>
              </w:rPr>
            </w:pPr>
            <w:r>
              <w:rPr>
                <w:bCs/>
                <w:color w:val="auto"/>
                <w:kern w:val="0"/>
                <w:sz w:val="18"/>
                <w:szCs w:val="18"/>
                <w:highlight w:val="none"/>
              </w:rPr>
              <w:t>QJ61</w:t>
            </w:r>
          </w:p>
        </w:tc>
        <w:tc>
          <w:tcPr>
            <w:tcW w:w="1050" w:type="dxa"/>
            <w:tcBorders>
              <w:top w:val="single" w:color="auto" w:sz="4" w:space="0"/>
              <w:left w:val="single" w:color="auto" w:sz="4" w:space="0"/>
              <w:bottom w:val="single" w:color="auto" w:sz="4" w:space="0"/>
              <w:right w:val="nil"/>
            </w:tcBorders>
            <w:noWrap w:val="0"/>
            <w:vAlign w:val="center"/>
          </w:tcPr>
          <w:p>
            <w:pPr>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
                <w:bCs/>
                <w:color w:val="auto"/>
                <w:kern w:val="0"/>
                <w:sz w:val="18"/>
                <w:szCs w:val="18"/>
                <w:highlight w:val="none"/>
              </w:rPr>
            </w:pPr>
            <w:r>
              <w:rPr>
                <w:b/>
                <w:bCs/>
                <w:color w:val="auto"/>
                <w:kern w:val="0"/>
                <w:sz w:val="18"/>
                <w:szCs w:val="18"/>
                <w:highlight w:val="none"/>
              </w:rPr>
              <w:t>（二）企业在境外设立分支机构情况</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期末境外营销服务机构数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QJ99</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期末境外技术研发机构数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QJ90</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期末境外生产制造基地数</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QJ92</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332" w:type="dxa"/>
            <w:tcBorders>
              <w:top w:val="single" w:color="auto" w:sz="4" w:space="0"/>
              <w:bottom w:val="single" w:color="auto" w:sz="4" w:space="0"/>
              <w:right w:val="single" w:color="auto" w:sz="4" w:space="0"/>
            </w:tcBorders>
            <w:noWrap w:val="0"/>
            <w:vAlign w:val="center"/>
          </w:tcPr>
          <w:p>
            <w:pPr>
              <w:widowControl/>
              <w:spacing w:line="280" w:lineRule="exact"/>
              <w:rPr>
                <w:bCs/>
                <w:color w:val="auto"/>
                <w:kern w:val="0"/>
                <w:sz w:val="18"/>
                <w:szCs w:val="18"/>
                <w:highlight w:val="none"/>
              </w:rPr>
            </w:pPr>
            <w:r>
              <w:rPr>
                <w:bCs/>
                <w:color w:val="auto"/>
                <w:kern w:val="0"/>
                <w:sz w:val="18"/>
                <w:szCs w:val="18"/>
                <w:highlight w:val="none"/>
              </w:rPr>
              <w:t>企业当年在境外设立分支机构数量</w:t>
            </w:r>
          </w:p>
        </w:tc>
        <w:tc>
          <w:tcPr>
            <w:tcW w:w="99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个</w:t>
            </w:r>
          </w:p>
        </w:tc>
        <w:tc>
          <w:tcPr>
            <w:tcW w:w="99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r>
              <w:rPr>
                <w:bCs/>
                <w:color w:val="auto"/>
                <w:kern w:val="0"/>
                <w:sz w:val="18"/>
                <w:szCs w:val="18"/>
                <w:highlight w:val="none"/>
              </w:rPr>
              <w:t>QJ102</w:t>
            </w:r>
          </w:p>
        </w:tc>
        <w:tc>
          <w:tcPr>
            <w:tcW w:w="1050" w:type="dxa"/>
            <w:tcBorders>
              <w:top w:val="single" w:color="auto" w:sz="4" w:space="0"/>
              <w:left w:val="single" w:color="auto" w:sz="4" w:space="0"/>
              <w:bottom w:val="single" w:color="auto" w:sz="4" w:space="0"/>
              <w:right w:val="nil"/>
            </w:tcBorders>
            <w:noWrap w:val="0"/>
            <w:vAlign w:val="center"/>
          </w:tcPr>
          <w:p>
            <w:pPr>
              <w:widowControl/>
              <w:spacing w:line="280" w:lineRule="exact"/>
              <w:ind w:left="-1" w:leftChars="-50" w:right="-105" w:rightChars="-50" w:hanging="104" w:hangingChars="58"/>
              <w:jc w:val="center"/>
              <w:rPr>
                <w:bCs/>
                <w:color w:val="auto"/>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73" w:type="dxa"/>
            <w:gridSpan w:val="4"/>
            <w:tcBorders>
              <w:top w:val="single" w:color="auto" w:sz="4" w:space="0"/>
              <w:bottom w:val="single" w:color="auto" w:sz="8" w:space="0"/>
              <w:right w:val="nil"/>
            </w:tcBorders>
            <w:noWrap w:val="0"/>
            <w:vAlign w:val="center"/>
          </w:tcPr>
          <w:p>
            <w:pPr>
              <w:spacing w:line="280" w:lineRule="exact"/>
              <w:rPr>
                <w:bCs/>
                <w:color w:val="auto"/>
                <w:sz w:val="18"/>
                <w:szCs w:val="24"/>
                <w:highlight w:val="none"/>
              </w:rPr>
            </w:pPr>
            <w:r>
              <w:rPr>
                <w:rFonts w:hint="eastAsia"/>
                <w:bCs/>
                <w:color w:val="auto"/>
                <w:sz w:val="18"/>
                <w:szCs w:val="24"/>
                <w:highlight w:val="none"/>
              </w:rPr>
              <w:t>补充资料：以下项目可多选，选定某项请在其后方框内填写</w:t>
            </w:r>
            <w:r>
              <w:rPr>
                <w:bCs/>
                <w:color w:val="auto"/>
                <w:sz w:val="18"/>
                <w:szCs w:val="24"/>
                <w:highlight w:val="none"/>
              </w:rPr>
              <w:t>1</w:t>
            </w:r>
            <w:r>
              <w:rPr>
                <w:rFonts w:hint="eastAsia"/>
                <w:bCs/>
                <w:color w:val="auto"/>
                <w:sz w:val="18"/>
                <w:szCs w:val="24"/>
                <w:highlight w:val="none"/>
              </w:rPr>
              <w:t>，不选可不填。</w:t>
            </w:r>
          </w:p>
          <w:p>
            <w:pPr>
              <w:spacing w:line="280" w:lineRule="exact"/>
              <w:rPr>
                <w:rFonts w:ascii="宋体" w:hAnsi="宋体"/>
                <w:bCs/>
                <w:color w:val="auto"/>
                <w:sz w:val="18"/>
                <w:szCs w:val="24"/>
                <w:highlight w:val="none"/>
              </w:rPr>
            </w:pPr>
            <w:r>
              <w:rPr>
                <w:rFonts w:ascii="宋体" w:hAnsi="宋体"/>
                <w:bCs/>
                <w:color w:val="auto"/>
                <w:sz w:val="18"/>
                <w:szCs w:val="24"/>
                <w:highlight w:val="none"/>
              </w:rPr>
              <w:t>1.企业在海外设立的技术研发机构所在的国家（QI19）：①美国□，②欧盟□，③日本□，④其他：□</w:t>
            </w:r>
            <w:r>
              <w:rPr>
                <w:rFonts w:hint="eastAsia" w:ascii="宋体" w:hAnsi="宋体"/>
                <w:bCs/>
                <w:color w:val="auto"/>
                <w:sz w:val="18"/>
                <w:szCs w:val="24"/>
                <w:highlight w:val="none"/>
              </w:rPr>
              <w:t>。</w:t>
            </w:r>
          </w:p>
          <w:p>
            <w:pPr>
              <w:spacing w:line="280" w:lineRule="exact"/>
              <w:rPr>
                <w:rFonts w:ascii="Times New Roman" w:hAnsi="Times New Roman"/>
                <w:bCs/>
                <w:color w:val="auto"/>
                <w:kern w:val="0"/>
                <w:sz w:val="18"/>
                <w:szCs w:val="18"/>
                <w:highlight w:val="none"/>
              </w:rPr>
            </w:pPr>
            <w:r>
              <w:rPr>
                <w:rFonts w:ascii="宋体" w:hAnsi="宋体"/>
                <w:bCs/>
                <w:color w:val="auto"/>
                <w:sz w:val="18"/>
                <w:szCs w:val="24"/>
                <w:highlight w:val="none"/>
              </w:rPr>
              <w:t>2.知识产权获取方式（QJ88</w:t>
            </w:r>
            <w:r>
              <w:rPr>
                <w:rFonts w:hint="eastAsia" w:ascii="宋体" w:hAnsi="宋体"/>
                <w:bCs/>
                <w:color w:val="auto"/>
                <w:sz w:val="18"/>
                <w:szCs w:val="24"/>
                <w:highlight w:val="none"/>
              </w:rPr>
              <w:t>）：①自主研发□，②受让□，③</w:t>
            </w:r>
            <w:r>
              <w:rPr>
                <w:rFonts w:ascii="宋体" w:hAnsi="宋体"/>
                <w:bCs/>
                <w:color w:val="auto"/>
                <w:sz w:val="18"/>
                <w:szCs w:val="24"/>
                <w:highlight w:val="none"/>
              </w:rPr>
              <w:t>受赠</w:t>
            </w:r>
            <w:r>
              <w:rPr>
                <w:rFonts w:hint="eastAsia" w:ascii="宋体" w:hAnsi="宋体"/>
                <w:bCs/>
                <w:color w:val="auto"/>
                <w:sz w:val="18"/>
                <w:szCs w:val="24"/>
                <w:highlight w:val="none"/>
              </w:rPr>
              <w:t>□，④并购□，⑤</w:t>
            </w:r>
            <w:r>
              <w:rPr>
                <w:rFonts w:ascii="宋体" w:hAnsi="宋体"/>
                <w:bCs/>
                <w:color w:val="auto"/>
                <w:sz w:val="18"/>
                <w:szCs w:val="24"/>
                <w:highlight w:val="none"/>
              </w:rPr>
              <w:t>5年以上独占许可</w:t>
            </w:r>
            <w:r>
              <w:rPr>
                <w:rFonts w:hint="eastAsia" w:ascii="宋体" w:hAnsi="宋体"/>
                <w:bCs/>
                <w:color w:val="auto"/>
                <w:sz w:val="18"/>
                <w:szCs w:val="24"/>
                <w:highlight w:val="none"/>
              </w:rPr>
              <w:t>□。</w:t>
            </w:r>
          </w:p>
        </w:tc>
      </w:tr>
    </w:tbl>
    <w:p>
      <w:pPr>
        <w:spacing w:line="280" w:lineRule="exact"/>
        <w:rPr>
          <w:rFonts w:ascii="Times New Roman" w:hAnsi="Times New Roman"/>
          <w:bCs/>
          <w:color w:val="auto"/>
          <w:sz w:val="18"/>
          <w:szCs w:val="24"/>
          <w:highlight w:val="none"/>
        </w:rPr>
      </w:pPr>
      <w:r>
        <w:rPr>
          <w:rFonts w:hint="eastAsia"/>
          <w:bCs/>
          <w:color w:val="auto"/>
          <w:sz w:val="18"/>
          <w:highlight w:val="none"/>
        </w:rPr>
        <w:t>单位负责人: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统计负责人: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填表人:</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 xml:space="preserve"> 联系电话:</w:t>
      </w:r>
      <w:r>
        <w:rPr>
          <w:rFonts w:hint="eastAsia"/>
          <w:bCs/>
          <w:color w:val="auto"/>
          <w:sz w:val="18"/>
          <w:highlight w:val="none"/>
          <w:u w:val="single"/>
        </w:rPr>
        <w:t xml:space="preserve">     </w:t>
      </w:r>
      <w:r>
        <w:rPr>
          <w:rFonts w:hint="eastAsia"/>
          <w:bCs/>
          <w:color w:val="auto"/>
          <w:sz w:val="18"/>
          <w:highlight w:val="none"/>
          <w:u w:val="single"/>
          <w:lang w:val="en-US" w:eastAsia="zh-CN"/>
        </w:rPr>
        <w:t xml:space="preserve">   </w:t>
      </w:r>
      <w:r>
        <w:rPr>
          <w:rFonts w:hint="eastAsia"/>
          <w:bCs/>
          <w:color w:val="auto"/>
          <w:sz w:val="18"/>
          <w:highlight w:val="none"/>
          <w:u w:val="single"/>
        </w:rPr>
        <w:t xml:space="preserve">   </w:t>
      </w:r>
      <w:r>
        <w:rPr>
          <w:rFonts w:hint="eastAsia"/>
          <w:bCs/>
          <w:color w:val="auto"/>
          <w:sz w:val="18"/>
          <w:highlight w:val="none"/>
        </w:rPr>
        <w:t>报出日期:20</w:t>
      </w:r>
      <w:r>
        <w:rPr>
          <w:rFonts w:hint="eastAsia"/>
          <w:bCs/>
          <w:color w:val="auto"/>
          <w:sz w:val="18"/>
          <w:highlight w:val="none"/>
          <w:u w:val="single"/>
        </w:rPr>
        <w:t xml:space="preserve">  </w:t>
      </w:r>
      <w:r>
        <w:rPr>
          <w:rFonts w:hint="eastAsia"/>
          <w:bCs/>
          <w:color w:val="auto"/>
          <w:sz w:val="18"/>
          <w:highlight w:val="none"/>
        </w:rPr>
        <w:t>年</w:t>
      </w:r>
      <w:r>
        <w:rPr>
          <w:rFonts w:hint="eastAsia"/>
          <w:bCs/>
          <w:color w:val="auto"/>
          <w:sz w:val="18"/>
          <w:highlight w:val="none"/>
          <w:u w:val="single"/>
        </w:rPr>
        <w:t xml:space="preserve">  </w:t>
      </w:r>
      <w:r>
        <w:rPr>
          <w:rFonts w:hint="eastAsia"/>
          <w:bCs/>
          <w:color w:val="auto"/>
          <w:sz w:val="18"/>
          <w:highlight w:val="none"/>
        </w:rPr>
        <w:t>月</w:t>
      </w:r>
      <w:r>
        <w:rPr>
          <w:rFonts w:hint="eastAsia"/>
          <w:bCs/>
          <w:color w:val="auto"/>
          <w:sz w:val="18"/>
          <w:highlight w:val="none"/>
          <w:u w:val="single"/>
        </w:rPr>
        <w:t xml:space="preserve">  </w:t>
      </w:r>
      <w:r>
        <w:rPr>
          <w:rFonts w:hint="eastAsia"/>
          <w:bCs/>
          <w:color w:val="auto"/>
          <w:sz w:val="18"/>
          <w:highlight w:val="none"/>
        </w:rPr>
        <w:t>日</w:t>
      </w:r>
    </w:p>
    <w:p>
      <w:pPr>
        <w:spacing w:line="280" w:lineRule="exact"/>
        <w:rPr>
          <w:rFonts w:ascii="Times New Roman" w:hAnsi="Times New Roman"/>
          <w:bCs/>
          <w:color w:val="auto"/>
          <w:sz w:val="18"/>
          <w:szCs w:val="24"/>
          <w:highlight w:val="none"/>
        </w:rPr>
      </w:pPr>
    </w:p>
    <w:p>
      <w:pPr>
        <w:spacing w:line="360" w:lineRule="exact"/>
        <w:rPr>
          <w:rFonts w:cs="Calibri"/>
          <w:bCs/>
          <w:color w:val="auto"/>
          <w:kern w:val="0"/>
          <w:sz w:val="18"/>
          <w:szCs w:val="18"/>
          <w:highlight w:val="none"/>
        </w:rPr>
      </w:pPr>
      <w:r>
        <w:rPr>
          <w:rFonts w:ascii="Times New Roman" w:hAnsi="Times New Roman"/>
          <w:bCs/>
          <w:color w:val="auto"/>
          <w:sz w:val="18"/>
          <w:szCs w:val="24"/>
          <w:highlight w:val="none"/>
        </w:rPr>
        <w:t>说明：</w:t>
      </w:r>
      <w:r>
        <w:rPr>
          <w:rFonts w:ascii="Times New Roman" w:hAnsi="Times New Roman"/>
          <w:bCs/>
          <w:color w:val="auto"/>
          <w:kern w:val="0"/>
          <w:sz w:val="18"/>
          <w:szCs w:val="18"/>
          <w:highlight w:val="none"/>
        </w:rPr>
        <w:t>表内审核</w:t>
      </w:r>
      <w:r>
        <w:rPr>
          <w:bCs/>
          <w:color w:val="auto"/>
          <w:kern w:val="0"/>
          <w:sz w:val="18"/>
          <w:szCs w:val="18"/>
          <w:highlight w:val="none"/>
        </w:rPr>
        <w:t>：</w:t>
      </w:r>
      <w:r>
        <w:rPr>
          <w:rFonts w:hint="eastAsia" w:ascii="Times New Roman" w:hAnsi="Times New Roman" w:eastAsia="宋体" w:cs="Times New Roman"/>
          <w:bCs/>
          <w:color w:val="auto"/>
          <w:kern w:val="2"/>
          <w:sz w:val="18"/>
          <w:szCs w:val="18"/>
          <w:highlight w:val="none"/>
        </w:rPr>
        <w:t>（1）QJ09≥QJ67（2）QJ09≥QJ09_1（3）QJ09≥QJ09_3（4）QJ09≥QI07_0≥QI07_1+QI07_2</w:t>
      </w:r>
    </w:p>
    <w:p>
      <w:pPr>
        <w:spacing w:line="360" w:lineRule="exact"/>
        <w:ind w:firstLine="540" w:firstLineChars="30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（5）</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QJ09&gt;0，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QJ23_1&gt;0（6）</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QJ23_1&gt;0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QJ09&gt;0（7）QJ250≥QJ251</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（8）QJ20=QJ23_1+QJ23_2+QJ23_3+QJ23_4+QJ23_6+QJ23_7+QJ33+QJ23_5（9）QI14_1≤QJ20</w:t>
      </w:r>
    </w:p>
    <w:p>
      <w:pPr>
        <w:spacing w:line="360" w:lineRule="exact"/>
        <w:ind w:firstLine="540" w:firstLineChars="30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（10）QJ33=QJ33_1+QJ33_2+QJ33_3+QJ33_4（11）</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QI07_0&gt;0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QI14_1&gt;0</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（12）</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QI07_0&gt;0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QI14_1&gt;0（13）</w:t>
      </w:r>
      <w:r>
        <w:rPr>
          <w:rFonts w:cs="Calibri"/>
          <w:bCs/>
          <w:color w:val="auto"/>
          <w:kern w:val="0"/>
          <w:sz w:val="18"/>
          <w:szCs w:val="18"/>
          <w:highlight w:val="none"/>
        </w:rPr>
        <w:t>若</w:t>
      </w:r>
      <w:r>
        <w:rPr>
          <w:rFonts w:hint="eastAsia" w:ascii="Times New Roman" w:hAnsi="Times New Roman" w:eastAsia="宋体" w:cs="Times New Roman"/>
          <w:bCs/>
          <w:color w:val="auto"/>
          <w:kern w:val="2"/>
          <w:sz w:val="18"/>
          <w:szCs w:val="18"/>
          <w:highlight w:val="none"/>
        </w:rPr>
        <w:t>QI14_1&gt;0</w:t>
      </w:r>
      <w:r>
        <w:rPr>
          <w:rFonts w:cs="Calibri"/>
          <w:bCs/>
          <w:color w:val="auto"/>
          <w:kern w:val="0"/>
          <w:sz w:val="18"/>
          <w:szCs w:val="18"/>
          <w:highlight w:val="none"/>
        </w:rPr>
        <w:t>，则</w:t>
      </w:r>
      <w:r>
        <w:rPr>
          <w:rFonts w:hint="eastAsia" w:ascii="Times New Roman" w:hAnsi="Times New Roman" w:eastAsia="宋体" w:cs="Times New Roman"/>
          <w:bCs/>
          <w:color w:val="auto"/>
          <w:kern w:val="2"/>
          <w:sz w:val="18"/>
          <w:szCs w:val="18"/>
          <w:highlight w:val="none"/>
        </w:rPr>
        <w:t>QI01&gt;0</w:t>
      </w:r>
      <w:r>
        <w:rPr>
          <w:rFonts w:cs="Calibri"/>
          <w:bCs/>
          <w:color w:val="auto"/>
          <w:kern w:val="0"/>
          <w:sz w:val="18"/>
          <w:szCs w:val="18"/>
          <w:highlight w:val="none"/>
        </w:rPr>
        <w:t>且</w:t>
      </w:r>
      <w:r>
        <w:rPr>
          <w:rFonts w:hint="eastAsia" w:ascii="Times New Roman" w:hAnsi="Times New Roman" w:eastAsia="宋体" w:cs="Times New Roman"/>
          <w:bCs/>
          <w:color w:val="auto"/>
          <w:kern w:val="2"/>
          <w:sz w:val="18"/>
          <w:szCs w:val="18"/>
          <w:highlight w:val="none"/>
        </w:rPr>
        <w:t>QI07_0&gt;0</w:t>
      </w:r>
    </w:p>
    <w:p>
      <w:pPr>
        <w:spacing w:line="360" w:lineRule="exact"/>
        <w:ind w:left="525" w:leftChars="250" w:firstLine="0" w:firstLineChars="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（14）QJ55≥QJ56（15）QJ55≥QJ55_1（16）QJ55≥QJ55_2（17）QJ56≥QJ56_1</w:t>
      </w:r>
    </w:p>
    <w:p>
      <w:pPr>
        <w:spacing w:line="360" w:lineRule="exact"/>
        <w:ind w:left="525" w:leftChars="250" w:firstLine="0" w:firstLineChars="0"/>
        <w:rPr>
          <w:rFonts w:hint="eastAsia" w:ascii="Times New Roman" w:hAnsi="Times New Roman" w:eastAsia="宋体" w:cs="Times New Roman"/>
          <w:bCs/>
          <w:color w:val="auto"/>
          <w:kern w:val="2"/>
          <w:sz w:val="18"/>
          <w:szCs w:val="18"/>
          <w:highlight w:val="none"/>
        </w:rPr>
      </w:pPr>
      <w:r>
        <w:rPr>
          <w:rFonts w:hint="eastAsia" w:ascii="Times New Roman" w:hAnsi="Times New Roman" w:eastAsia="宋体" w:cs="Times New Roman"/>
          <w:bCs/>
          <w:color w:val="auto"/>
          <w:kern w:val="2"/>
          <w:sz w:val="18"/>
          <w:szCs w:val="18"/>
          <w:highlight w:val="none"/>
        </w:rPr>
        <w:t>（18）QJ74≥QJ57（19）QJ74≥QJ75（20）QJ83≥QJ83_1（21）QJ83≥QJ73</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（22）QJ83_1≥QJ82（23）QJ73≥QJ73_1（24）QJ71≥QJ72（25）QJ72≤QC11</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（26）QJ79≥QJ77（27）QJ79≥QJ79_1（28）QJ85≥QJ85_1（29）QJ86≥QJ86_1</w:t>
      </w:r>
    </w:p>
    <w:p>
      <w:pPr>
        <w:spacing w:line="360" w:lineRule="exact"/>
        <w:ind w:firstLine="540" w:firstLineChars="300"/>
        <w:rPr>
          <w:rFonts w:cs="Calibri"/>
          <w:bCs/>
          <w:color w:val="auto"/>
          <w:kern w:val="0"/>
          <w:sz w:val="18"/>
          <w:szCs w:val="18"/>
          <w:highlight w:val="none"/>
        </w:rPr>
      </w:pPr>
      <w:r>
        <w:rPr>
          <w:rFonts w:hint="eastAsia" w:ascii="Times New Roman" w:hAnsi="Times New Roman" w:eastAsia="宋体" w:cs="Times New Roman"/>
          <w:bCs/>
          <w:color w:val="auto"/>
          <w:kern w:val="2"/>
          <w:sz w:val="18"/>
          <w:szCs w:val="18"/>
          <w:highlight w:val="none"/>
        </w:rPr>
        <w:t>（30）QJ87≥QJ87_1（31）QJ101≥QJ101_1（32）QJ100≥QJ100_1（33）QJ80_1≥QJ80_2</w:t>
      </w:r>
    </w:p>
    <w:p>
      <w:pPr>
        <w:spacing w:line="360" w:lineRule="exact"/>
        <w:ind w:left="525" w:leftChars="250" w:firstLine="0" w:firstLineChars="0"/>
        <w:rPr>
          <w:rFonts w:hint="eastAsia" w:ascii="Times New Roman" w:hAnsi="Times New Roman" w:eastAsia="宋体" w:cs="Times New Roman"/>
          <w:bCs/>
          <w:color w:val="auto"/>
          <w:sz w:val="18"/>
          <w:szCs w:val="18"/>
          <w:highlight w:val="none"/>
        </w:rPr>
      </w:pPr>
      <w:r>
        <w:rPr>
          <w:rFonts w:hint="eastAsia" w:ascii="Times New Roman" w:hAnsi="Times New Roman" w:eastAsia="宋体" w:cs="Times New Roman"/>
          <w:bCs/>
          <w:color w:val="auto"/>
          <w:kern w:val="2"/>
          <w:sz w:val="18"/>
          <w:szCs w:val="18"/>
          <w:highlight w:val="none"/>
        </w:rPr>
        <w:t>（34）QJ80_1≥QJ80_3（35）QJ80≥QJ80_4（36）QJ80≥QJ80_5</w:t>
      </w:r>
    </w:p>
    <w:p>
      <w:pPr>
        <w:tabs>
          <w:tab w:val="left" w:pos="753"/>
        </w:tabs>
        <w:snapToGrid w:val="0"/>
        <w:spacing w:line="360" w:lineRule="exact"/>
        <w:ind w:firstLine="540" w:firstLineChars="300"/>
        <w:jc w:val="both"/>
        <w:rPr>
          <w:color w:val="auto"/>
          <w:highlight w:val="none"/>
        </w:rPr>
      </w:pPr>
      <w:r>
        <w:rPr>
          <w:rFonts w:cs="Calibri"/>
          <w:bCs/>
          <w:color w:val="auto"/>
          <w:kern w:val="0"/>
          <w:sz w:val="18"/>
          <w:szCs w:val="18"/>
          <w:highlight w:val="none"/>
        </w:rPr>
        <w:t>表间审核：</w:t>
      </w:r>
      <w:r>
        <w:rPr>
          <w:rFonts w:hint="eastAsia" w:ascii="Times New Roman" w:hAnsi="Times New Roman" w:eastAsia="宋体" w:cs="Times New Roman"/>
          <w:bCs/>
          <w:color w:val="auto"/>
          <w:kern w:val="2"/>
          <w:sz w:val="18"/>
          <w:szCs w:val="18"/>
          <w:highlight w:val="none"/>
        </w:rPr>
        <w:t>（1）GQ-005</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QJ09*12≥GQ-004</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∑QH40（2）GQ-005</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QJ20≥GQ-004</w:t>
      </w:r>
      <w:r>
        <w:rPr>
          <w:rFonts w:cs="Calibri"/>
          <w:bCs/>
          <w:color w:val="auto"/>
          <w:kern w:val="0"/>
          <w:sz w:val="18"/>
          <w:szCs w:val="18"/>
          <w:highlight w:val="none"/>
        </w:rPr>
        <w:t>表</w:t>
      </w:r>
      <w:r>
        <w:rPr>
          <w:rFonts w:hint="eastAsia" w:ascii="Times New Roman" w:hAnsi="Times New Roman" w:eastAsia="宋体" w:cs="Times New Roman"/>
          <w:bCs/>
          <w:color w:val="auto"/>
          <w:kern w:val="2"/>
          <w:sz w:val="18"/>
          <w:szCs w:val="18"/>
          <w:highlight w:val="none"/>
        </w:rPr>
        <w:t>∑QH51</w:t>
      </w:r>
    </w:p>
    <w:p>
      <w:pPr>
        <w:tabs>
          <w:tab w:val="left" w:pos="753"/>
        </w:tabs>
        <w:snapToGrid w:val="0"/>
        <w:spacing w:line="360" w:lineRule="exact"/>
        <w:ind w:firstLine="0" w:firstLineChars="0"/>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br w:type="page"/>
      </w:r>
      <w:r>
        <w:rPr>
          <w:rFonts w:hint="eastAsia" w:ascii="黑体" w:hAnsi="黑体" w:eastAsia="黑体" w:cs="黑体"/>
          <w:b w:val="0"/>
          <w:bCs/>
          <w:color w:val="auto"/>
          <w:sz w:val="32"/>
          <w:szCs w:val="32"/>
          <w:highlight w:val="none"/>
        </w:rPr>
        <w:t>指标解释</w:t>
      </w:r>
    </w:p>
    <w:p>
      <w:pPr>
        <w:pStyle w:val="9"/>
        <w:rPr>
          <w:rFonts w:ascii="Times New Roman" w:hAnsi="Times New Roman"/>
          <w:color w:val="auto"/>
          <w:highlight w:val="none"/>
        </w:rPr>
      </w:pP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w:t>
      </w:r>
      <w:r>
        <w:rPr>
          <w:rFonts w:hint="eastAsia" w:ascii="宋体" w:hAnsi="宋体"/>
          <w:bCs/>
          <w:color w:val="auto"/>
          <w:szCs w:val="21"/>
          <w:highlight w:val="none"/>
        </w:rPr>
        <w:t>指报告期内企业参加研究开发活动的人员合计。该指标应与企业会计账中有关研究开发会计科目或向税务部门提供的研发支出辅助账中人员人工费子科目里涉及的全部人员对应。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研究开发人员合计中管理和服务人员</w:t>
      </w:r>
      <w:r>
        <w:rPr>
          <w:rFonts w:hint="eastAsia" w:ascii="Times New Roman" w:hAnsi="Times New Roman"/>
          <w:bCs/>
          <w:color w:val="auto"/>
          <w:szCs w:val="21"/>
          <w:highlight w:val="none"/>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pPr>
        <w:widowControl/>
        <w:spacing w:line="400" w:lineRule="exact"/>
        <w:ind w:firstLine="420" w:firstLineChars="200"/>
        <w:jc w:val="left"/>
        <w:rPr>
          <w:rFonts w:hint="eastAsia" w:ascii="Times New Roman" w:hAnsi="Times New Roman" w:eastAsia="宋体"/>
          <w:bCs/>
          <w:color w:val="auto"/>
          <w:szCs w:val="21"/>
          <w:highlight w:val="none"/>
          <w:lang w:eastAsia="zh-CN"/>
        </w:rPr>
      </w:pPr>
      <w:r>
        <w:rPr>
          <w:rFonts w:ascii="Times New Roman" w:hAnsi="Times New Roman" w:eastAsia="黑体"/>
          <w:bCs/>
          <w:color w:val="auto"/>
          <w:szCs w:val="21"/>
          <w:highlight w:val="none"/>
        </w:rPr>
        <w:t>研究开发人员合计中全职人员</w:t>
      </w:r>
      <w:r>
        <w:rPr>
          <w:rFonts w:hint="eastAsia" w:ascii="Times New Roman" w:hAnsi="Times New Roman"/>
          <w:bCs/>
          <w:color w:val="auto"/>
          <w:szCs w:val="21"/>
          <w:highlight w:val="none"/>
        </w:rPr>
        <w:t>指报告期内企业研究开发人员中实际从事研究开发活动的时间占制度工作时间90%及以上的人员</w:t>
      </w:r>
      <w:r>
        <w:rPr>
          <w:rFonts w:hint="eastAsia" w:ascii="Times New Roman" w:hAnsi="Times New Roman"/>
          <w:bCs/>
          <w:color w:val="auto"/>
          <w:szCs w:val="21"/>
          <w:highlight w:val="none"/>
          <w:lang w:eastAsia="zh-CN"/>
        </w:rPr>
        <w:t>。</w:t>
      </w:r>
    </w:p>
    <w:p>
      <w:pPr>
        <w:spacing w:line="400" w:lineRule="exact"/>
        <w:ind w:firstLine="420" w:firstLineChars="200"/>
        <w:rPr>
          <w:rFonts w:ascii="Times New Roman" w:hAnsi="Times New Roman"/>
          <w:bCs/>
          <w:color w:val="auto"/>
          <w:sz w:val="24"/>
          <w:szCs w:val="24"/>
          <w:highlight w:val="none"/>
        </w:rPr>
      </w:pPr>
      <w:r>
        <w:rPr>
          <w:rFonts w:ascii="Times New Roman" w:hAnsi="Times New Roman" w:eastAsia="黑体"/>
          <w:bCs/>
          <w:color w:val="auto"/>
          <w:szCs w:val="21"/>
          <w:highlight w:val="none"/>
        </w:rPr>
        <w:t>研究开发人员合计中本科毕业及以上人员</w:t>
      </w:r>
      <w:r>
        <w:rPr>
          <w:rFonts w:hint="eastAsia" w:ascii="Times New Roman" w:hAnsi="Times New Roman"/>
          <w:bCs/>
          <w:color w:val="auto"/>
          <w:szCs w:val="21"/>
          <w:highlight w:val="none"/>
        </w:rPr>
        <w:t>指报告期内企业研究开发人员中具有大学本科学历或学士学位及以上学历或学位的人员。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研究开发人员合计中外聘人员</w:t>
      </w:r>
      <w:r>
        <w:rPr>
          <w:rFonts w:hint="eastAsia" w:ascii="Times New Roman" w:hAnsi="Times New Roman"/>
          <w:bCs/>
          <w:color w:val="auto"/>
          <w:szCs w:val="21"/>
          <w:highlight w:val="none"/>
        </w:rPr>
        <w:t>指报告期内企业研究开发人员中外聘的人员。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w:t>
      </w:r>
      <w:r>
        <w:rPr>
          <w:rFonts w:hint="eastAsia" w:ascii="Times New Roman" w:hAnsi="Times New Roman"/>
          <w:bCs/>
          <w:color w:val="auto"/>
          <w:szCs w:val="21"/>
          <w:highlight w:val="none"/>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研究开发费用合计中人员人工费</w:t>
      </w:r>
      <w:r>
        <w:rPr>
          <w:rFonts w:hint="eastAsia" w:ascii="Times New Roman" w:hAnsi="Times New Roman"/>
          <w:bCs/>
          <w:color w:val="auto"/>
          <w:szCs w:val="21"/>
          <w:highlight w:val="none"/>
        </w:rPr>
        <w:t>指报告期内企业研究开发人员的工资薪金、基本养老保险费、基本医疗保险费、失业保险费、工伤保险费、生育保险费和住房公积金，以及外聘研究开发人员的劳务费用等。该指标应与企业会计账中有关研究开发会计科目或向税务部门提供的研发支出辅助账中人员人工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研究开发费用合计中直接投入费用</w:t>
      </w:r>
      <w:r>
        <w:rPr>
          <w:rFonts w:hint="eastAsia" w:ascii="Times New Roman" w:hAnsi="Times New Roman"/>
          <w:bCs/>
          <w:color w:val="auto"/>
          <w:szCs w:val="21"/>
          <w:highlight w:val="none"/>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账中有关研究开发会计科目或向税务部门提供的研发支出辅助账中直接投入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研究开发费用合计中折旧费用与长期待摊费用</w:t>
      </w:r>
      <w:r>
        <w:rPr>
          <w:rFonts w:hint="eastAsia" w:ascii="Times New Roman" w:hAnsi="Times New Roman"/>
          <w:bCs/>
          <w:color w:val="auto"/>
          <w:szCs w:val="21"/>
          <w:highlight w:val="none"/>
        </w:rPr>
        <w:t>指报告期内企业用于研究开发活动的仪器、设备和在用建筑物的折旧费，以及研究开发设施的改建、改装、装修和修理过程中发生的长期待摊费用等。该指标应与企业会计账中有关研究开发会计科目或向税务部门提供的有研发支出辅助账中折旧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研究开发费用合计中无形资产摊销费用</w:t>
      </w:r>
      <w:r>
        <w:rPr>
          <w:rFonts w:hint="eastAsia" w:ascii="Times New Roman" w:hAnsi="Times New Roman"/>
          <w:bCs/>
          <w:color w:val="auto"/>
          <w:szCs w:val="21"/>
          <w:highlight w:val="none"/>
        </w:rPr>
        <w:t>指报告期内企业用于研究开发活动的软件、知识产权、非专利技术（专有技术、许可证、设计和计算方法等）的摊销费用等。该指标应与企业会计账中有关研究开发会计科目或向税务部门提供的研发支出辅助账中无形资产摊销费用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研究开发费用合计中设计费用</w:t>
      </w:r>
      <w:r>
        <w:rPr>
          <w:rFonts w:hint="eastAsia" w:ascii="Times New Roman" w:hAnsi="Times New Roman"/>
          <w:bCs/>
          <w:color w:val="auto"/>
          <w:szCs w:val="21"/>
          <w:highlight w:val="none"/>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账中有关研究开发会计科目或向税务部门提供的研发支出辅助账中设计费用对应。对于按照研究开发费用加计扣除减免政策进行核算的企业，该指标应与其新产品设计费用和新工艺规程制定费用合计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研究开发费用合计中装备调试费用与试验费用</w:t>
      </w:r>
      <w:r>
        <w:rPr>
          <w:rFonts w:hint="eastAsia" w:ascii="Times New Roman" w:hAnsi="Times New Roman"/>
          <w:bCs/>
          <w:color w:val="auto"/>
          <w:szCs w:val="21"/>
          <w:highlight w:val="none"/>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账中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研究开发费用合计中委托外部研究开发费用</w:t>
      </w:r>
      <w:r>
        <w:rPr>
          <w:rFonts w:hint="eastAsia" w:ascii="Times New Roman" w:hAnsi="Times New Roman"/>
          <w:bCs/>
          <w:color w:val="auto"/>
          <w:szCs w:val="21"/>
          <w:highlight w:val="none"/>
        </w:rPr>
        <w:t>指报告期内企业委托境内外其他机构进行研究开发活动所发生的费用。该指标应与企业会计账中有关研究开发会计科目或向税务部门提供的研发支出辅助账中委托研发费用对应。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委托外部研究开发费用中委托境内研究机构</w:t>
      </w:r>
      <w:r>
        <w:rPr>
          <w:rFonts w:hint="eastAsia" w:ascii="Times New Roman" w:hAnsi="Times New Roman"/>
          <w:bCs/>
          <w:color w:val="auto"/>
          <w:szCs w:val="21"/>
          <w:highlight w:val="none"/>
        </w:rPr>
        <w:t>指报告期内企业委托境内独立研究机构开展研究开发活动而支付予其的费用。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委托外部研究开发费用中委托境内高等学校</w:t>
      </w:r>
      <w:r>
        <w:rPr>
          <w:rFonts w:hint="eastAsia" w:ascii="Times New Roman" w:hAnsi="Times New Roman"/>
          <w:bCs/>
          <w:color w:val="auto"/>
          <w:szCs w:val="21"/>
          <w:highlight w:val="none"/>
        </w:rPr>
        <w:t>指报告期内企业委托境内高等学校开展研究开发活动而支付予其的费用。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委托外部研究开发费用中委托境内企业</w:t>
      </w:r>
      <w:r>
        <w:rPr>
          <w:rFonts w:hint="eastAsia" w:ascii="Times New Roman" w:hAnsi="Times New Roman"/>
          <w:bCs/>
          <w:color w:val="auto"/>
          <w:szCs w:val="21"/>
          <w:highlight w:val="none"/>
        </w:rPr>
        <w:t>指报告期内企业委托境内其他企业开展研究开发活动而支付予其的费用。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委托外部研究开发费用中委托境外机构</w:t>
      </w:r>
      <w:r>
        <w:rPr>
          <w:rFonts w:hint="eastAsia" w:ascii="Times New Roman" w:hAnsi="Times New Roman"/>
          <w:bCs/>
          <w:color w:val="auto"/>
          <w:szCs w:val="21"/>
          <w:highlight w:val="none"/>
        </w:rPr>
        <w:t>指报告期内企业委托国外或港澳台机构开展研究开发活动而支付予其的费用。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研究开发费用合计中其他费用</w:t>
      </w:r>
      <w:r>
        <w:rPr>
          <w:rFonts w:hint="eastAsia" w:ascii="Times New Roman" w:hAnsi="Times New Roman"/>
          <w:bCs/>
          <w:color w:val="auto"/>
          <w:szCs w:val="21"/>
          <w:highlight w:val="none"/>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账中有关研究开发会计科目或向税务部门提供的研发支出辅助账中其他相关费用对应。</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当年形成用于研究开发的固定资产</w:t>
      </w:r>
      <w:r>
        <w:rPr>
          <w:rFonts w:hint="eastAsia" w:ascii="Times New Roman" w:hAnsi="Times New Roman"/>
          <w:bCs/>
          <w:color w:val="auto"/>
          <w:szCs w:val="21"/>
          <w:highlight w:val="none"/>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当年形成用于研究开发的固定资产中的仪器和设备</w:t>
      </w:r>
      <w:r>
        <w:rPr>
          <w:rFonts w:hint="eastAsia" w:ascii="Times New Roman" w:hAnsi="Times New Roman"/>
          <w:bCs/>
          <w:color w:val="auto"/>
          <w:szCs w:val="21"/>
          <w:highlight w:val="none"/>
        </w:rPr>
        <w:t>指报告期内企业形成用于研究开发的固定资产中的仪器和设备原价。其中，设备包括用于研究开发活动的各类机器和设备、试验测量仪器、运输工具、工装工具等。</w:t>
      </w:r>
    </w:p>
    <w:p>
      <w:pPr>
        <w:widowControl/>
        <w:spacing w:line="400" w:lineRule="exact"/>
        <w:ind w:firstLine="420" w:firstLineChars="200"/>
        <w:jc w:val="left"/>
        <w:rPr>
          <w:rFonts w:ascii="Times New Roman" w:hAnsi="Times New Roman" w:eastAsia="黑体"/>
          <w:bCs/>
          <w:color w:val="auto"/>
          <w:szCs w:val="21"/>
          <w:highlight w:val="none"/>
        </w:rPr>
      </w:pPr>
      <w:r>
        <w:rPr>
          <w:rFonts w:ascii="Times New Roman" w:hAnsi="Times New Roman" w:eastAsia="黑体"/>
          <w:bCs/>
          <w:color w:val="auto"/>
          <w:szCs w:val="21"/>
          <w:highlight w:val="none"/>
        </w:rPr>
        <w:t>研究开发经费来源情况</w:t>
      </w:r>
      <w:r>
        <w:rPr>
          <w:rFonts w:ascii="宋体" w:hAnsi="宋体"/>
          <w:bCs/>
          <w:color w:val="auto"/>
          <w:szCs w:val="21"/>
          <w:highlight w:val="none"/>
        </w:rPr>
        <w:t>指报告期内企业从各种途径获得的研究开发经费情况，</w:t>
      </w:r>
      <w:r>
        <w:rPr>
          <w:rFonts w:hint="eastAsia" w:ascii="宋体" w:hAnsi="宋体"/>
          <w:bCs/>
          <w:color w:val="auto"/>
          <w:szCs w:val="21"/>
          <w:highlight w:val="none"/>
        </w:rPr>
        <w:t>主要</w:t>
      </w:r>
      <w:r>
        <w:rPr>
          <w:rFonts w:ascii="宋体" w:hAnsi="宋体"/>
          <w:bCs/>
          <w:color w:val="auto"/>
          <w:szCs w:val="21"/>
          <w:highlight w:val="none"/>
        </w:rPr>
        <w:t>包括</w:t>
      </w:r>
      <w:r>
        <w:rPr>
          <w:rFonts w:hint="eastAsia" w:ascii="宋体" w:hAnsi="宋体"/>
          <w:bCs/>
          <w:color w:val="auto"/>
          <w:szCs w:val="21"/>
          <w:highlight w:val="none"/>
        </w:rPr>
        <w:t>研究和试验发展阶段与研究开发有关的人、财、物、时间、信息等资源的投入科技经费的总量，不包括产业化阶段的投入。研究开发</w:t>
      </w:r>
      <w:r>
        <w:rPr>
          <w:rFonts w:ascii="宋体" w:hAnsi="宋体"/>
          <w:bCs/>
          <w:color w:val="auto"/>
          <w:szCs w:val="21"/>
          <w:highlight w:val="none"/>
        </w:rPr>
        <w:t>经费主要</w:t>
      </w:r>
      <w:r>
        <w:rPr>
          <w:rFonts w:hint="eastAsia" w:ascii="宋体" w:hAnsi="宋体"/>
          <w:bCs/>
          <w:color w:val="auto"/>
          <w:szCs w:val="21"/>
          <w:highlight w:val="none"/>
        </w:rPr>
        <w:t>分为：（</w:t>
      </w:r>
      <w:r>
        <w:rPr>
          <w:rFonts w:ascii="Times New Roman" w:hAnsi="Times New Roman"/>
          <w:bCs/>
          <w:color w:val="auto"/>
          <w:szCs w:val="21"/>
          <w:highlight w:val="none"/>
        </w:rPr>
        <w:t>1）对科学研究与试验发展活动的投入，其中包括基础研究、应用研究和试验发展三种类型；（2）对科技教育与培训的投入；（3）科学</w:t>
      </w:r>
      <w:r>
        <w:rPr>
          <w:rFonts w:ascii="宋体" w:hAnsi="宋体"/>
          <w:bCs/>
          <w:color w:val="auto"/>
          <w:szCs w:val="21"/>
          <w:highlight w:val="none"/>
        </w:rPr>
        <w:t>技术服务过程中的技术开发投入；</w:t>
      </w:r>
      <w:r>
        <w:rPr>
          <w:rFonts w:ascii="Times New Roman" w:hAnsi="Times New Roman"/>
          <w:bCs/>
          <w:color w:val="auto"/>
          <w:szCs w:val="21"/>
          <w:highlight w:val="none"/>
        </w:rPr>
        <w:t>（4）对科技成果转化与应用的投入，包括设计与试制、小批试制、工业性试验等。（5）与研究开发有关的其它投入。主要反映企业开展科学研究与试验发展、科学研究与试验发展成果应用、科技教育与培训及相关科技服务等全部研究开发的支出情况。企业接受外单位委托所开展的科研活动相关支出不作为本企业的科技支出反映。来源渠道包括企业自</w:t>
      </w:r>
      <w:r>
        <w:rPr>
          <w:rFonts w:ascii="宋体" w:hAnsi="宋体"/>
          <w:bCs/>
          <w:color w:val="auto"/>
          <w:szCs w:val="21"/>
          <w:highlight w:val="none"/>
        </w:rPr>
        <w:t>筹、政府部门、银行贷款、风险投资、其他渠道等。</w:t>
      </w:r>
    </w:p>
    <w:p>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w:t>
      </w:r>
      <w:r>
        <w:rPr>
          <w:rFonts w:ascii="黑体" w:hAnsi="黑体" w:eastAsia="黑体" w:cs="宋体"/>
          <w:color w:val="auto"/>
          <w:highlight w:val="none"/>
        </w:rPr>
        <w:t>企业自筹</w:t>
      </w:r>
      <w:r>
        <w:rPr>
          <w:rFonts w:hint="eastAsia" w:ascii="宋体" w:hAnsi="宋体" w:cs="宋体"/>
          <w:color w:val="auto"/>
          <w:highlight w:val="none"/>
        </w:rPr>
        <w:t>指报告期内企业来源</w:t>
      </w:r>
      <w:r>
        <w:rPr>
          <w:rFonts w:ascii="宋体" w:hAnsi="宋体" w:cs="宋体"/>
          <w:color w:val="auto"/>
          <w:highlight w:val="none"/>
        </w:rPr>
        <w:t>于企业自有资金的研究开发经费合计，包括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pPr>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来自政府部门</w:t>
      </w:r>
      <w:r>
        <w:rPr>
          <w:rFonts w:hint="eastAsia" w:ascii="宋体" w:hAnsi="宋体" w:cs="宋体"/>
          <w:color w:val="auto"/>
          <w:highlight w:val="none"/>
        </w:rPr>
        <w:t>指报告期内企业从政府有关部门获得的研究开发经费合计，包括科技专项费、科研基建费、政府专项基金和补贴等。该指标应与有关会计科目计入的从政府有关部门获得的研究开发经费对应。</w:t>
      </w:r>
    </w:p>
    <w:p>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w:t>
      </w:r>
      <w:r>
        <w:rPr>
          <w:rFonts w:ascii="黑体" w:hAnsi="黑体" w:eastAsia="黑体" w:cs="宋体"/>
          <w:color w:val="auto"/>
          <w:highlight w:val="none"/>
        </w:rPr>
        <w:t>银行贷款</w:t>
      </w:r>
      <w:r>
        <w:rPr>
          <w:rFonts w:hint="eastAsia" w:ascii="宋体" w:hAnsi="宋体" w:cs="宋体"/>
          <w:color w:val="auto"/>
          <w:highlight w:val="none"/>
        </w:rPr>
        <w:t>指报告期内企业来源</w:t>
      </w:r>
      <w:r>
        <w:rPr>
          <w:rFonts w:ascii="宋体" w:hAnsi="宋体" w:cs="宋体"/>
          <w:color w:val="auto"/>
          <w:highlight w:val="none"/>
        </w:rPr>
        <w:t>于银行贷款的研究开发经费合计</w:t>
      </w:r>
      <w:r>
        <w:rPr>
          <w:rFonts w:hint="eastAsia" w:ascii="宋体" w:hAnsi="宋体" w:cs="宋体"/>
          <w:color w:val="auto"/>
          <w:highlight w:val="none"/>
        </w:rPr>
        <w:t>，</w:t>
      </w:r>
      <w:r>
        <w:rPr>
          <w:rFonts w:ascii="宋体" w:hAnsi="宋体" w:cs="宋体"/>
          <w:color w:val="auto"/>
          <w:highlight w:val="none"/>
        </w:rPr>
        <w:t>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来自风险投资</w:t>
      </w:r>
      <w:r>
        <w:rPr>
          <w:rFonts w:hint="eastAsia" w:ascii="宋体" w:hAnsi="宋体" w:cs="宋体"/>
          <w:color w:val="auto"/>
          <w:highlight w:val="none"/>
        </w:rPr>
        <w:t>指报告期内企业来源</w:t>
      </w:r>
      <w:r>
        <w:rPr>
          <w:rFonts w:ascii="宋体" w:hAnsi="宋体" w:cs="宋体"/>
          <w:color w:val="auto"/>
          <w:highlight w:val="none"/>
        </w:rPr>
        <w:t>于</w:t>
      </w:r>
      <w:r>
        <w:rPr>
          <w:rFonts w:hint="eastAsia" w:ascii="宋体" w:hAnsi="宋体" w:cs="宋体"/>
          <w:color w:val="auto"/>
          <w:highlight w:val="none"/>
        </w:rPr>
        <w:t>风险投资(</w:t>
      </w:r>
      <w:r>
        <w:rPr>
          <w:rFonts w:ascii="宋体" w:hAnsi="宋体" w:cs="宋体"/>
          <w:color w:val="auto"/>
          <w:highlight w:val="none"/>
        </w:rPr>
        <w:t>VC</w:t>
      </w:r>
      <w:r>
        <w:rPr>
          <w:rFonts w:hint="eastAsia" w:ascii="宋体" w:hAnsi="宋体" w:cs="宋体"/>
          <w:color w:val="auto"/>
          <w:highlight w:val="none"/>
        </w:rPr>
        <w:t>)</w:t>
      </w:r>
      <w:r>
        <w:rPr>
          <w:rFonts w:ascii="宋体" w:hAnsi="宋体" w:cs="宋体"/>
          <w:color w:val="auto"/>
          <w:highlight w:val="none"/>
        </w:rPr>
        <w:t>的研究开发经费合计</w:t>
      </w:r>
      <w:r>
        <w:rPr>
          <w:rFonts w:hint="eastAsia" w:ascii="宋体" w:hAnsi="宋体" w:cs="宋体"/>
          <w:color w:val="auto"/>
          <w:highlight w:val="none"/>
        </w:rPr>
        <w:t>，</w:t>
      </w:r>
      <w:r>
        <w:rPr>
          <w:rFonts w:ascii="宋体" w:hAnsi="宋体" w:cs="宋体"/>
          <w:color w:val="auto"/>
          <w:highlight w:val="none"/>
        </w:rPr>
        <w:t>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pPr>
        <w:pStyle w:val="9"/>
        <w:spacing w:after="0" w:line="400" w:lineRule="exact"/>
        <w:ind w:firstLine="420" w:firstLineChars="200"/>
        <w:rPr>
          <w:rFonts w:ascii="Times New Roman" w:hAnsi="Times New Roman"/>
          <w:color w:val="auto"/>
          <w:highlight w:val="none"/>
        </w:rPr>
      </w:pPr>
      <w:r>
        <w:rPr>
          <w:rFonts w:hint="eastAsia" w:ascii="黑体" w:hAnsi="黑体" w:eastAsia="黑体" w:cs="宋体"/>
          <w:color w:val="auto"/>
          <w:highlight w:val="none"/>
        </w:rPr>
        <w:t>来自其他渠道</w:t>
      </w:r>
      <w:r>
        <w:rPr>
          <w:rFonts w:hint="eastAsia" w:ascii="宋体" w:hAnsi="宋体" w:cs="宋体"/>
          <w:color w:val="auto"/>
          <w:highlight w:val="none"/>
        </w:rPr>
        <w:t>指报告期内企业其他不属于</w:t>
      </w:r>
      <w:r>
        <w:rPr>
          <w:rFonts w:ascii="宋体" w:hAnsi="宋体" w:cs="宋体"/>
          <w:color w:val="auto"/>
          <w:highlight w:val="none"/>
        </w:rPr>
        <w:t>以上</w:t>
      </w:r>
      <w:r>
        <w:rPr>
          <w:rFonts w:hint="eastAsia" w:ascii="宋体" w:hAnsi="宋体" w:cs="宋体"/>
          <w:color w:val="auto"/>
          <w:highlight w:val="none"/>
        </w:rPr>
        <w:t>资金</w:t>
      </w:r>
      <w:r>
        <w:rPr>
          <w:rFonts w:ascii="宋体" w:hAnsi="宋体" w:cs="宋体"/>
          <w:color w:val="auto"/>
          <w:highlight w:val="none"/>
        </w:rPr>
        <w:t>来源的研究开发经费合计</w:t>
      </w:r>
      <w:r>
        <w:rPr>
          <w:rFonts w:hint="eastAsia" w:ascii="宋体" w:hAnsi="宋体" w:cs="宋体"/>
          <w:color w:val="auto"/>
          <w:highlight w:val="none"/>
        </w:rPr>
        <w:t>，比如</w:t>
      </w:r>
      <w:r>
        <w:rPr>
          <w:rFonts w:ascii="宋体" w:hAnsi="宋体" w:cs="宋体"/>
          <w:color w:val="auto"/>
          <w:highlight w:val="none"/>
        </w:rPr>
        <w:t>捐赠、</w:t>
      </w:r>
      <w:r>
        <w:rPr>
          <w:rFonts w:hint="eastAsia" w:ascii="宋体" w:hAnsi="宋体" w:cs="宋体"/>
          <w:color w:val="auto"/>
          <w:highlight w:val="none"/>
        </w:rPr>
        <w:t>受委托</w:t>
      </w:r>
      <w:r>
        <w:rPr>
          <w:rFonts w:ascii="宋体" w:hAnsi="宋体" w:cs="宋体"/>
          <w:color w:val="auto"/>
          <w:highlight w:val="none"/>
        </w:rPr>
        <w:t>等。</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期末机构数</w:t>
      </w:r>
      <w:r>
        <w:rPr>
          <w:rFonts w:hint="eastAsia" w:ascii="Times New Roman" w:hAnsi="Times New Roman"/>
          <w:bCs/>
          <w:color w:val="auto"/>
          <w:szCs w:val="21"/>
          <w:highlight w:val="none"/>
        </w:rPr>
        <w:t>指报告期末企业在境内自办的研究开发机构数量。企业办研究开发机构指企业自办（或与外单位合办），管理上同生产系统相对独立（或单独核算）的专门研究开发机构，如企业办的技术中心、研究院所、开发中心等。企业办研究开发机构经过资源整合，同一机构被国家或省级有关部门认定为不同名称技术创新平台的，应按一个机构填报。与外单位合办的研究开发机构若主要由本企业出资兴办，则由本企业统计，否则应由合办方统计。企业研究开发管理职能处（科）室（如科研处、技术科等）一般不统计在内；若科研处、技术科等同时挂有研究开发机构的牌子，视其报告期内主要工作任务而定，主要任务是从事研究开发活动的可以统计，否则不予统计。本指标不含企业在国外或港澳台设立的研究开发机构数。</w:t>
      </w:r>
    </w:p>
    <w:p>
      <w:pPr>
        <w:spacing w:line="400" w:lineRule="exact"/>
        <w:ind w:firstLine="420" w:firstLineChars="200"/>
        <w:rPr>
          <w:rFonts w:ascii="Times New Roman" w:hAnsi="Times New Roman"/>
          <w:bCs/>
          <w:color w:val="auto"/>
          <w:sz w:val="24"/>
          <w:szCs w:val="24"/>
          <w:highlight w:val="none"/>
        </w:rPr>
      </w:pPr>
      <w:r>
        <w:rPr>
          <w:rFonts w:ascii="Times New Roman" w:hAnsi="Times New Roman" w:eastAsia="黑体"/>
          <w:bCs/>
          <w:color w:val="auto"/>
          <w:szCs w:val="21"/>
          <w:highlight w:val="none"/>
        </w:rPr>
        <w:t>机构研究开发人员合计</w:t>
      </w:r>
      <w:r>
        <w:rPr>
          <w:rFonts w:hint="eastAsia" w:ascii="Times New Roman" w:hAnsi="Times New Roman"/>
          <w:bCs/>
          <w:color w:val="auto"/>
          <w:szCs w:val="21"/>
          <w:highlight w:val="none"/>
        </w:rPr>
        <w:t>指报告期内企业办研究开发机构中研究开发人员合计。</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机构人员合计中博士毕业</w:t>
      </w:r>
      <w:r>
        <w:rPr>
          <w:rFonts w:hint="eastAsia" w:ascii="Times New Roman" w:hAnsi="Times New Roman"/>
          <w:bCs/>
          <w:color w:val="auto"/>
          <w:szCs w:val="21"/>
          <w:highlight w:val="none"/>
        </w:rPr>
        <w:t>指报告期内企业办研究开发机构中具有博士学历或博士学位的研究开发人员。</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机构人员合计中硕士毕业</w:t>
      </w:r>
      <w:r>
        <w:rPr>
          <w:rFonts w:hint="eastAsia" w:ascii="Times New Roman" w:hAnsi="Times New Roman"/>
          <w:bCs/>
          <w:color w:val="auto"/>
          <w:szCs w:val="21"/>
          <w:highlight w:val="none"/>
        </w:rPr>
        <w:t>指报告期内企业办研究开发机构中具有硕士学历或硕士学位的研究开发人员。</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机构研究开发费用</w:t>
      </w:r>
      <w:r>
        <w:rPr>
          <w:rFonts w:hint="eastAsia" w:ascii="Times New Roman" w:hAnsi="Times New Roman"/>
          <w:bCs/>
          <w:color w:val="auto"/>
          <w:szCs w:val="21"/>
          <w:highlight w:val="none"/>
        </w:rPr>
        <w:t>指报告期内企业办研究开发机构中用于研究开发活动的费用合计，包括人员人工费用、直接投入费用、折旧费用与长期待摊费用、无形资产摊销费用、设计费用、装备调试费用与试验费用、委托外部研究开发费用及其他费用。</w:t>
      </w:r>
    </w:p>
    <w:p>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当年专利申请数</w:t>
      </w:r>
      <w:r>
        <w:rPr>
          <w:rFonts w:hint="eastAsia" w:ascii="Times New Roman" w:hAnsi="Times New Roman"/>
          <w:bCs/>
          <w:color w:val="auto"/>
          <w:szCs w:val="21"/>
          <w:highlight w:val="none"/>
        </w:rPr>
        <w:t>指报告期内企业作为第一申请人向境内外知识产权行政部门提出专利申请并被受理后，按规定缴足申请费，符合进入初步审查阶段条件的件数。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当年申请发明专利</w:t>
      </w:r>
      <w:r>
        <w:rPr>
          <w:rFonts w:hint="eastAsia" w:ascii="Times New Roman" w:hAnsi="Times New Roman"/>
          <w:bCs/>
          <w:color w:val="auto"/>
          <w:szCs w:val="21"/>
          <w:highlight w:val="none"/>
        </w:rPr>
        <w:t>指报告期内企业作为第一申请人向境内外知识产权行政部门提出发明专利申请并被受理后，按规定缴足申请费，符合进入初步审查阶段条件的件数。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当年申请国内发明专利</w:t>
      </w:r>
      <w:r>
        <w:rPr>
          <w:rFonts w:ascii="Times New Roman" w:hAnsi="Times New Roman"/>
          <w:bCs/>
          <w:color w:val="auto"/>
          <w:szCs w:val="21"/>
          <w:highlight w:val="none"/>
        </w:rPr>
        <w:t>指报告期内企业作为第一申请人向我国专利机构提出发明专利申请的件数。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当年申请欧美日专利</w:t>
      </w:r>
      <w:r>
        <w:rPr>
          <w:rFonts w:ascii="Times New Roman" w:hAnsi="Times New Roman"/>
          <w:bCs/>
          <w:color w:val="auto"/>
          <w:szCs w:val="21"/>
          <w:highlight w:val="none"/>
        </w:rPr>
        <w:t>指报告期内企业作为第一申请人向欧洲知识产权局、美国商标与专利管理局和日本特许厅提出专利申请的件数。同一专利需向三方均提出申请并被受理，才有效，按1件计。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当年申请PCT国际专利数</w:t>
      </w:r>
      <w:r>
        <w:rPr>
          <w:rFonts w:ascii="Times New Roman" w:hAnsi="Times New Roman"/>
          <w:bCs/>
          <w:color w:val="auto"/>
          <w:szCs w:val="21"/>
          <w:highlight w:val="none"/>
        </w:rPr>
        <w:t>指报告期内企业作为第一申请人提出的PCT国际专利申请数量。PCT是《专利合作条约》（Patent Cooperation Treaty）的英文缩写，是有关专利的国际条约。根据PCT的规定，专利申请人可以通过PCT途径递交国际专利申请，向多个国家申请专利。PCT专利申请分为国际阶段和国家阶段，其中，国际阶段由国际受理、国际检索，国际公布、初步审查等步骤，经过国际检索、国际公开以及国际初步审查（如果要求了的话）这一国际阶段之后，专利申请人办理进入国家阶段的手续。</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中国知识产权局专利局是中国国民或居民的主管受理局，同时也是国际检索单位和国际初步审查单位。中国申请人提出国际专利申请，应当经中华人民共和国国务院有关主管部门同意，并且应当委托涉外专利代理机构办理。中国申请人可以向中国专利局也可以向世界知识产权组织的国际局提交国际专利申请。</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应当注意的是，专利申请人只能通过PCT申请专利，不能直接通过PCT得到专利。要想获得某个国家的专利，专利申请人还必须履行进入该国家的手续，由该国的专利局对该专利申请进行审查，符合该国专利法规定的，授予专利权。</w:t>
      </w:r>
    </w:p>
    <w:p>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当年授权专利</w:t>
      </w:r>
      <w:r>
        <w:rPr>
          <w:rFonts w:hint="eastAsia" w:ascii="宋体" w:hAnsi="宋体"/>
          <w:bCs/>
          <w:color w:val="auto"/>
          <w:szCs w:val="21"/>
          <w:highlight w:val="none"/>
        </w:rPr>
        <w:t>指报告期当年企业作为第一专利权人获得的经国内外知识产权行政部门授权的专利件数。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当年授权发明专利</w:t>
      </w:r>
      <w:r>
        <w:rPr>
          <w:rFonts w:hint="eastAsia" w:ascii="宋体" w:hAnsi="宋体"/>
          <w:bCs/>
          <w:color w:val="auto"/>
          <w:szCs w:val="21"/>
          <w:highlight w:val="none"/>
        </w:rPr>
        <w:t>指报告期当年企业作为第一专利权人获得的经国内外专利行政部门授权的发明专利件数。</w:t>
      </w:r>
    </w:p>
    <w:p>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当年授权国内发明专利</w:t>
      </w:r>
      <w:r>
        <w:rPr>
          <w:rFonts w:hint="eastAsia" w:ascii="宋体" w:hAnsi="宋体"/>
          <w:bCs/>
          <w:color w:val="auto"/>
          <w:szCs w:val="21"/>
          <w:highlight w:val="none"/>
        </w:rPr>
        <w:t>指报告期当年企业作为第一专利权人获得我国专利机构授权的发明专利件数。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当年授权欧美日专利</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报告期当年企业作为第一专利权人针对同一项专利申请，分别获得欧洲知识产权局、美国商标与专利管理局和日本特许厅批准授权的专利件数。同一专利获得三方授权按</w:t>
      </w:r>
      <w:r>
        <w:rPr>
          <w:rFonts w:ascii="宋体" w:hAnsi="宋体"/>
          <w:bCs/>
          <w:color w:val="auto"/>
          <w:szCs w:val="21"/>
          <w:highlight w:val="none"/>
        </w:rPr>
        <w:t>1件计。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期末拥有有效专利</w:t>
      </w:r>
      <w:r>
        <w:rPr>
          <w:rFonts w:ascii="Times New Roman" w:hAnsi="Times New Roman"/>
          <w:bCs/>
          <w:color w:val="auto"/>
          <w:szCs w:val="21"/>
          <w:highlight w:val="none"/>
        </w:rPr>
        <w:t>指报告期末企业作为第一专利权人拥有的、经境内外知识产权行政部门授权且在有效期内的专利件数。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拥有境外授权的有效专利</w:t>
      </w:r>
      <w:r>
        <w:rPr>
          <w:rFonts w:ascii="Times New Roman" w:hAnsi="Times New Roman"/>
          <w:bCs/>
          <w:color w:val="auto"/>
          <w:szCs w:val="21"/>
          <w:highlight w:val="none"/>
        </w:rPr>
        <w:t>指报告期末企业作为第一专利权人拥有的、经国外及港澳台知识产权行政部门授予且在有效期内的专利件数。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拥有欧美日专利</w:t>
      </w:r>
      <w:r>
        <w:rPr>
          <w:rFonts w:ascii="Times New Roman" w:hAnsi="Times New Roman"/>
          <w:bCs/>
          <w:color w:val="auto"/>
          <w:szCs w:val="21"/>
          <w:highlight w:val="none"/>
        </w:rPr>
        <w:t>指报告期末企业作为第一专利权人拥有的、针对同一项专利，分别获得欧洲、美国、日本知识产权行政部门授权且在有效期内的专利件数。同一专利获得三方授权按1件计。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拥有有效发明专利</w:t>
      </w:r>
      <w:r>
        <w:rPr>
          <w:rFonts w:ascii="Times New Roman" w:hAnsi="Times New Roman"/>
          <w:bCs/>
          <w:color w:val="auto"/>
          <w:szCs w:val="21"/>
          <w:highlight w:val="none"/>
        </w:rPr>
        <w:t>指报告期末企业作为第一专利权人拥有的、经境内外知识产权行政部门授权且在有效期内的发明专利件数。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拥有境外授权的有效发明专利</w:t>
      </w:r>
      <w:r>
        <w:rPr>
          <w:rFonts w:ascii="Times New Roman" w:hAnsi="Times New Roman"/>
          <w:bCs/>
          <w:color w:val="auto"/>
          <w:szCs w:val="21"/>
          <w:highlight w:val="none"/>
        </w:rPr>
        <w:t>指报告期末企业作为第一专利权人拥有的、经国外或港澳台知识产权行政部门授予且在有效期内的发明专利件数。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专利所有权转让及许可</w:t>
      </w:r>
      <w:r>
        <w:rPr>
          <w:rFonts w:ascii="Times New Roman" w:hAnsi="Times New Roman"/>
          <w:bCs/>
          <w:color w:val="auto"/>
          <w:szCs w:val="21"/>
          <w:highlight w:val="none"/>
        </w:rPr>
        <w:t>指报告期内企业向外单位转让专利所有权或允许专利技术由被许可单位使用的专利件数。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专利所有权转让及许可收入</w:t>
      </w:r>
      <w:r>
        <w:rPr>
          <w:rFonts w:ascii="Times New Roman" w:hAnsi="Times New Roman"/>
          <w:bCs/>
          <w:color w:val="auto"/>
          <w:szCs w:val="21"/>
          <w:highlight w:val="none"/>
        </w:rPr>
        <w:t>指报告期内企业向外单位转让专利所有权或允许专利技术由被许可单位使用而得到的收入，包括当年从被转让方或被许可方得到的一次性付款和分期付款收入，以及利润分成、股息收入等。</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新产品产值</w:t>
      </w:r>
      <w:r>
        <w:rPr>
          <w:rFonts w:ascii="Times New Roman" w:hAnsi="Times New Roman"/>
          <w:bCs/>
          <w:color w:val="auto"/>
          <w:szCs w:val="21"/>
          <w:highlight w:val="none"/>
        </w:rPr>
        <w:t>指报告期内企业生产的新产品的产值。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w:t>
      </w:r>
      <w:r>
        <w:rPr>
          <w:rFonts w:hint="eastAsia" w:ascii="Times New Roman" w:hAnsi="Times New Roman"/>
          <w:bCs/>
          <w:color w:val="auto"/>
          <w:szCs w:val="21"/>
          <w:highlight w:val="none"/>
          <w:lang w:eastAsia="zh-CN"/>
        </w:rPr>
        <w:t>两</w:t>
      </w:r>
      <w:r>
        <w:rPr>
          <w:rFonts w:ascii="Times New Roman" w:hAnsi="Times New Roman"/>
          <w:bCs/>
          <w:color w:val="auto"/>
          <w:szCs w:val="21"/>
          <w:highlight w:val="none"/>
        </w:rPr>
        <w:t>年之内的新产品。</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新产品销售收入</w:t>
      </w:r>
      <w:r>
        <w:rPr>
          <w:rFonts w:hint="eastAsia" w:ascii="Times New Roman" w:hAnsi="Times New Roman"/>
          <w:bCs/>
          <w:color w:val="auto"/>
          <w:szCs w:val="21"/>
          <w:highlight w:val="none"/>
        </w:rPr>
        <w:t>指报告期内企业销售新产品实现的销售收入。</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新产品销售收入中出口</w:t>
      </w:r>
      <w:r>
        <w:rPr>
          <w:rFonts w:hint="eastAsia" w:ascii="Times New Roman" w:hAnsi="Times New Roman"/>
          <w:bCs/>
          <w:color w:val="auto"/>
          <w:szCs w:val="21"/>
          <w:highlight w:val="none"/>
        </w:rPr>
        <w:t>指报告期内企业将新产品销售给外贸部门和直接出售给外商所实现的销售收入。</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发表科技论文</w:t>
      </w:r>
      <w:r>
        <w:rPr>
          <w:rFonts w:hint="eastAsia" w:ascii="Times New Roman" w:hAnsi="Times New Roman"/>
          <w:bCs/>
          <w:color w:val="auto"/>
          <w:szCs w:val="21"/>
          <w:highlight w:val="none"/>
        </w:rPr>
        <w:t>指报告期内企业立项的研究开发项目产生的、并在有正规刊号的刊物上发表的科技论文数量。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期末拥有注册商标</w:t>
      </w:r>
      <w:r>
        <w:rPr>
          <w:rFonts w:ascii="Times New Roman" w:hAnsi="Times New Roman"/>
          <w:bCs/>
          <w:color w:val="auto"/>
          <w:szCs w:val="21"/>
          <w:highlight w:val="none"/>
        </w:rPr>
        <w:t>指报告期末企业作为第一商标注册人拥有的，经境内外商标行政部门核准注册且在有效期内的商标件数。包括在境内和境外注册的商标件数，同一件商标在境内外同时注册时按一件计。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当年注册商标</w:t>
      </w:r>
      <w:r>
        <w:rPr>
          <w:rFonts w:hint="eastAsia" w:ascii="宋体" w:hAnsi="宋体"/>
          <w:bCs/>
          <w:color w:val="auto"/>
          <w:szCs w:val="21"/>
          <w:highlight w:val="none"/>
        </w:rPr>
        <w:t>指报告期当年企业作为第一商标注册人获得境内外商标行政部门核准注册的商标件数。同一商标在不同地区同时注册按一件计。</w:t>
      </w:r>
    </w:p>
    <w:p>
      <w:pPr>
        <w:widowControl/>
        <w:spacing w:line="400" w:lineRule="exact"/>
        <w:ind w:firstLine="415" w:firstLineChars="198"/>
        <w:jc w:val="left"/>
        <w:rPr>
          <w:rFonts w:ascii="Times New Roman" w:hAnsi="Times New Roman"/>
          <w:bCs/>
          <w:color w:val="auto"/>
          <w:szCs w:val="21"/>
          <w:highlight w:val="none"/>
        </w:rPr>
      </w:pPr>
      <w:r>
        <w:rPr>
          <w:rFonts w:ascii="Times New Roman" w:hAnsi="Times New Roman" w:eastAsia="黑体"/>
          <w:bCs/>
          <w:color w:val="auto"/>
          <w:szCs w:val="21"/>
          <w:highlight w:val="none"/>
        </w:rPr>
        <w:t>境外注册商标</w:t>
      </w:r>
      <w:r>
        <w:rPr>
          <w:rFonts w:hint="eastAsia" w:ascii="宋体" w:hAnsi="宋体"/>
          <w:bCs/>
          <w:color w:val="auto"/>
          <w:szCs w:val="21"/>
          <w:highlight w:val="none"/>
        </w:rPr>
        <w:t>指报告期末企业作为第一商标注册人拥有的，经国外或港澳台商标行政部门核准注册且在有效期内的商标件数。</w:t>
      </w:r>
    </w:p>
    <w:p>
      <w:pPr>
        <w:widowControl/>
        <w:spacing w:line="400" w:lineRule="exact"/>
        <w:ind w:firstLine="415" w:firstLineChars="198"/>
        <w:jc w:val="left"/>
        <w:rPr>
          <w:rFonts w:ascii="Times New Roman" w:hAnsi="Times New Roman"/>
          <w:bCs/>
          <w:color w:val="auto"/>
          <w:szCs w:val="21"/>
          <w:highlight w:val="none"/>
        </w:rPr>
      </w:pPr>
      <w:r>
        <w:rPr>
          <w:rFonts w:ascii="Times New Roman" w:hAnsi="Times New Roman" w:eastAsia="黑体"/>
          <w:bCs/>
          <w:color w:val="auto"/>
          <w:szCs w:val="21"/>
          <w:highlight w:val="none"/>
        </w:rPr>
        <w:t>当年境外注册商标</w:t>
      </w:r>
      <w:r>
        <w:rPr>
          <w:rFonts w:ascii="Times New Roman" w:hAnsi="Times New Roman"/>
          <w:bCs/>
          <w:color w:val="auto"/>
          <w:szCs w:val="21"/>
          <w:highlight w:val="none"/>
        </w:rPr>
        <w:t>指报告期当年企业作为第一商标注册人拥有的，经国外或港澳台商标行政部门核准注册且在有效期内的商标件数。</w:t>
      </w:r>
    </w:p>
    <w:p>
      <w:pPr>
        <w:widowControl/>
        <w:spacing w:line="400" w:lineRule="exact"/>
        <w:ind w:firstLine="415" w:firstLineChars="198"/>
        <w:jc w:val="left"/>
        <w:rPr>
          <w:rFonts w:ascii="Times New Roman" w:hAnsi="Times New Roman"/>
          <w:bCs/>
          <w:color w:val="auto"/>
          <w:spacing w:val="-4"/>
          <w:szCs w:val="21"/>
          <w:highlight w:val="none"/>
        </w:rPr>
      </w:pPr>
      <w:r>
        <w:rPr>
          <w:rFonts w:ascii="Times New Roman" w:hAnsi="Times New Roman" w:eastAsia="黑体"/>
          <w:bCs/>
          <w:color w:val="auto"/>
          <w:szCs w:val="21"/>
          <w:highlight w:val="none"/>
        </w:rPr>
        <w:t>拥有软件著作权</w:t>
      </w:r>
      <w:r>
        <w:rPr>
          <w:rFonts w:hint="eastAsia" w:ascii="宋体" w:hAnsi="宋体"/>
          <w:bCs/>
          <w:color w:val="auto"/>
          <w:szCs w:val="21"/>
          <w:highlight w:val="none"/>
        </w:rPr>
        <w:t>指在报告期末企业作为第一权利人拥有的，经国务院知识产权行政部门按照《中华人民共和国计算机软件保护条例》对计算机程序和文档授予的且在有效期内的著作权数量。</w:t>
      </w:r>
    </w:p>
    <w:p>
      <w:pPr>
        <w:widowControl/>
        <w:spacing w:line="400" w:lineRule="exact"/>
        <w:ind w:firstLine="415" w:firstLineChars="198"/>
        <w:jc w:val="left"/>
        <w:rPr>
          <w:rFonts w:ascii="Times New Roman" w:hAnsi="Times New Roman"/>
          <w:bCs/>
          <w:color w:val="auto"/>
          <w:spacing w:val="-4"/>
          <w:szCs w:val="21"/>
          <w:highlight w:val="none"/>
        </w:rPr>
      </w:pPr>
      <w:r>
        <w:rPr>
          <w:rFonts w:ascii="Times New Roman" w:hAnsi="Times New Roman" w:eastAsia="黑体"/>
          <w:bCs/>
          <w:color w:val="auto"/>
          <w:szCs w:val="21"/>
          <w:highlight w:val="none"/>
        </w:rPr>
        <w:t>当年获得软件著作权</w:t>
      </w:r>
      <w:r>
        <w:rPr>
          <w:rFonts w:hint="eastAsia" w:ascii="宋体" w:hAnsi="宋体"/>
          <w:bCs/>
          <w:color w:val="auto"/>
          <w:szCs w:val="21"/>
          <w:highlight w:val="none"/>
        </w:rPr>
        <w:t>指</w:t>
      </w:r>
      <w:r>
        <w:rPr>
          <w:rFonts w:ascii="宋体" w:hAnsi="宋体"/>
          <w:bCs/>
          <w:color w:val="auto"/>
          <w:szCs w:val="21"/>
          <w:highlight w:val="none"/>
        </w:rPr>
        <w:t>报告期</w:t>
      </w:r>
      <w:r>
        <w:rPr>
          <w:rFonts w:hint="eastAsia" w:ascii="宋体" w:hAnsi="宋体"/>
          <w:bCs/>
          <w:color w:val="auto"/>
          <w:szCs w:val="21"/>
          <w:highlight w:val="none"/>
        </w:rPr>
        <w:t>当年</w:t>
      </w:r>
      <w:r>
        <w:rPr>
          <w:rFonts w:ascii="宋体" w:hAnsi="宋体"/>
          <w:bCs/>
          <w:color w:val="auto"/>
          <w:szCs w:val="21"/>
          <w:highlight w:val="none"/>
        </w:rPr>
        <w:t>新获得的软件著作权数量。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拥有集成电路布图设计</w:t>
      </w:r>
      <w:r>
        <w:rPr>
          <w:rFonts w:ascii="Times New Roman" w:hAnsi="Times New Roman"/>
          <w:bCs/>
          <w:color w:val="auto"/>
          <w:szCs w:val="21"/>
          <w:highlight w:val="none"/>
        </w:rPr>
        <w:t>指</w:t>
      </w:r>
      <w:r>
        <w:rPr>
          <w:rFonts w:ascii="Times New Roman" w:hAnsi="Times New Roman"/>
          <w:bCs/>
          <w:color w:val="auto"/>
          <w:spacing w:val="-4"/>
          <w:szCs w:val="21"/>
          <w:highlight w:val="none"/>
        </w:rPr>
        <w:t>在报告期末企业</w:t>
      </w:r>
      <w:r>
        <w:rPr>
          <w:rFonts w:ascii="Times New Roman" w:hAnsi="Times New Roman"/>
          <w:bCs/>
          <w:color w:val="auto"/>
          <w:szCs w:val="21"/>
          <w:highlight w:val="none"/>
        </w:rPr>
        <w:t>作为第一权利人</w:t>
      </w:r>
      <w:r>
        <w:rPr>
          <w:rFonts w:ascii="Times New Roman" w:hAnsi="Times New Roman"/>
          <w:bCs/>
          <w:color w:val="auto"/>
          <w:spacing w:val="-4"/>
          <w:szCs w:val="21"/>
          <w:highlight w:val="none"/>
        </w:rPr>
        <w:t>拥有的，且在有效期内的，</w:t>
      </w:r>
      <w:r>
        <w:rPr>
          <w:rFonts w:ascii="Times New Roman" w:hAnsi="Times New Roman"/>
          <w:bCs/>
          <w:color w:val="auto"/>
          <w:szCs w:val="21"/>
          <w:highlight w:val="none"/>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当年获得集成电路布图设计权数量</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报告期当年新获得的集成电路布图设计权数量。</w:t>
      </w:r>
    </w:p>
    <w:p>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拥有植物新品种</w:t>
      </w:r>
      <w:r>
        <w:rPr>
          <w:rFonts w:hint="eastAsia" w:ascii="宋体" w:hAnsi="宋体"/>
          <w:bCs/>
          <w:color w:val="auto"/>
          <w:szCs w:val="21"/>
          <w:highlight w:val="none"/>
        </w:rPr>
        <w:t>指在报告期末企业作为第一权利人拥有的，且在有效期内的，由国务院农业或林业行政部门按照《中华人民共和国植物新品种保护条例》授予的经过人工培育的或者对发现的野生植物加以开发，具备新颖性、特异性、一致性和稳定性并有适当命名的植物新品种权。</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拥有国家一类新药证书数量</w:t>
      </w:r>
      <w:r>
        <w:rPr>
          <w:rFonts w:hint="eastAsia" w:ascii="宋体" w:hAnsi="宋体"/>
          <w:bCs/>
          <w:color w:val="auto"/>
          <w:szCs w:val="21"/>
          <w:highlight w:val="none"/>
        </w:rPr>
        <w:t>指在报告期末企业作为权利人拥有的，且在有效期内的国家一类新药品种证书的国家一类新药数量。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国家一类新药</w:t>
      </w:r>
      <w:r>
        <w:rPr>
          <w:rFonts w:ascii="Times New Roman" w:hAnsi="Times New Roman"/>
          <w:bCs/>
          <w:color w:val="auto"/>
          <w:szCs w:val="21"/>
          <w:highlight w:val="none"/>
        </w:rPr>
        <w:t>指按照2007年颁布的《药品注册管理办法》（国家食品药品监督管理局28号令）或国家食品药品监督管理局出台的其它最新政策文件中规定的一类新药。</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当年获得国家一类新药证书</w:t>
      </w:r>
      <w:r>
        <w:rPr>
          <w:rFonts w:ascii="Times New Roman" w:hAnsi="Times New Roman"/>
          <w:bCs/>
          <w:color w:val="auto"/>
          <w:szCs w:val="21"/>
          <w:highlight w:val="none"/>
        </w:rPr>
        <w:t>填报告期当年企业新获得的国家一类新药证书数量。</w:t>
      </w:r>
    </w:p>
    <w:p>
      <w:pPr>
        <w:widowControl/>
        <w:spacing w:line="400" w:lineRule="exact"/>
        <w:ind w:firstLine="420" w:firstLineChars="200"/>
        <w:jc w:val="left"/>
        <w:rPr>
          <w:rFonts w:ascii="Times New Roman" w:hAnsi="Times New Roman"/>
          <w:bCs/>
          <w:color w:val="auto"/>
          <w:szCs w:val="24"/>
          <w:highlight w:val="none"/>
        </w:rPr>
      </w:pPr>
      <w:r>
        <w:rPr>
          <w:rFonts w:ascii="Times New Roman" w:hAnsi="Times New Roman" w:eastAsia="黑体"/>
          <w:bCs/>
          <w:color w:val="auto"/>
          <w:szCs w:val="21"/>
          <w:highlight w:val="none"/>
        </w:rPr>
        <w:t>拥有国家一级中药保护品种</w:t>
      </w:r>
      <w:r>
        <w:rPr>
          <w:rFonts w:ascii="Times New Roman" w:hAnsi="Times New Roman"/>
          <w:bCs/>
          <w:color w:val="auto"/>
          <w:szCs w:val="21"/>
          <w:highlight w:val="none"/>
        </w:rPr>
        <w:t>指在报告期末企业作为权利人拥有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当年获得国家一级中药保护品种证书</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报告期当年企业新获得的国家一类新药证书数量。</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累计形成国际标准</w:t>
      </w:r>
      <w:r>
        <w:rPr>
          <w:rFonts w:hint="eastAsia" w:ascii="宋体" w:hAnsi="宋体"/>
          <w:bCs/>
          <w:color w:val="auto"/>
          <w:szCs w:val="21"/>
          <w:highlight w:val="none"/>
        </w:rPr>
        <w:t>指截至报告期末企业主导制定形成的</w:t>
      </w:r>
      <w:r>
        <w:rPr>
          <w:rFonts w:ascii="Times New Roman" w:hAnsi="Times New Roman"/>
          <w:bCs/>
          <w:color w:val="auto"/>
          <w:szCs w:val="21"/>
          <w:highlight w:val="none"/>
        </w:rPr>
        <w:t>国际标准数。国际标准是指</w:t>
      </w:r>
      <w:r>
        <w:rPr>
          <w:color w:val="auto"/>
          <w:highlight w:val="none"/>
        </w:rPr>
        <w:fldChar w:fldCharType="begin"/>
      </w:r>
      <w:r>
        <w:rPr>
          <w:color w:val="auto"/>
          <w:highlight w:val="none"/>
        </w:rPr>
        <w:instrText xml:space="preserve"> HYPERLINK "http://baike.baidu.com/view/42488.htm" \t "_blank" </w:instrText>
      </w:r>
      <w:r>
        <w:rPr>
          <w:color w:val="auto"/>
          <w:highlight w:val="none"/>
        </w:rPr>
        <w:fldChar w:fldCharType="separate"/>
      </w:r>
      <w:r>
        <w:rPr>
          <w:rFonts w:ascii="Times New Roman" w:hAnsi="Times New Roman"/>
          <w:bCs/>
          <w:color w:val="auto"/>
          <w:szCs w:val="21"/>
          <w:highlight w:val="none"/>
        </w:rPr>
        <w:t>国际标准化组织</w:t>
      </w:r>
      <w:r>
        <w:rPr>
          <w:rFonts w:ascii="Times New Roman" w:hAnsi="Times New Roman"/>
          <w:bCs/>
          <w:color w:val="auto"/>
          <w:szCs w:val="21"/>
          <w:highlight w:val="none"/>
        </w:rPr>
        <w:fldChar w:fldCharType="end"/>
      </w:r>
      <w:r>
        <w:rPr>
          <w:rFonts w:ascii="Times New Roman" w:hAnsi="Times New Roman"/>
          <w:bCs/>
          <w:color w:val="auto"/>
          <w:szCs w:val="21"/>
          <w:highlight w:val="none"/>
        </w:rPr>
        <w:t>（ISO）、</w:t>
      </w:r>
      <w:r>
        <w:rPr>
          <w:color w:val="auto"/>
          <w:highlight w:val="none"/>
        </w:rPr>
        <w:fldChar w:fldCharType="begin"/>
      </w:r>
      <w:r>
        <w:rPr>
          <w:color w:val="auto"/>
          <w:highlight w:val="none"/>
        </w:rPr>
        <w:instrText xml:space="preserve"> HYPERLINK "http://baike.baidu.com/view/159311.htm" \t "_blank" </w:instrText>
      </w:r>
      <w:r>
        <w:rPr>
          <w:color w:val="auto"/>
          <w:highlight w:val="none"/>
        </w:rPr>
        <w:fldChar w:fldCharType="separate"/>
      </w:r>
      <w:r>
        <w:rPr>
          <w:rFonts w:ascii="Times New Roman" w:hAnsi="Times New Roman"/>
          <w:bCs/>
          <w:color w:val="auto"/>
          <w:szCs w:val="21"/>
          <w:highlight w:val="none"/>
        </w:rPr>
        <w:t>国际电工委员会</w:t>
      </w:r>
      <w:r>
        <w:rPr>
          <w:rFonts w:ascii="Times New Roman" w:hAnsi="Times New Roman"/>
          <w:bCs/>
          <w:color w:val="auto"/>
          <w:szCs w:val="21"/>
          <w:highlight w:val="none"/>
        </w:rPr>
        <w:fldChar w:fldCharType="end"/>
      </w:r>
      <w:r>
        <w:rPr>
          <w:rFonts w:ascii="Times New Roman" w:hAnsi="Times New Roman"/>
          <w:bCs/>
          <w:color w:val="auto"/>
          <w:szCs w:val="21"/>
          <w:highlight w:val="none"/>
        </w:rPr>
        <w:t>（IEC）和国际电信联盟（ITU）制</w:t>
      </w:r>
      <w:r>
        <w:rPr>
          <w:rFonts w:ascii="宋体" w:hAnsi="宋体"/>
          <w:bCs/>
          <w:color w:val="auto"/>
          <w:szCs w:val="21"/>
          <w:highlight w:val="none"/>
        </w:rPr>
        <w:t>定的标准，以及国际标准化组织确认并公布的其他国际组织制定的标准</w:t>
      </w:r>
      <w:r>
        <w:rPr>
          <w:rFonts w:hint="eastAsia" w:ascii="宋体" w:hAnsi="宋体"/>
          <w:bCs/>
          <w:color w:val="auto"/>
          <w:szCs w:val="21"/>
          <w:highlight w:val="none"/>
        </w:rPr>
        <w:t>，</w:t>
      </w:r>
      <w:r>
        <w:rPr>
          <w:rFonts w:ascii="宋体" w:hAnsi="宋体"/>
          <w:bCs/>
          <w:color w:val="auto"/>
          <w:szCs w:val="21"/>
          <w:highlight w:val="none"/>
        </w:rPr>
        <w:t>在世界范围内统一使用。</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当年形成国际标准</w:t>
      </w:r>
      <w:r>
        <w:rPr>
          <w:rFonts w:hint="eastAsia" w:ascii="宋体" w:hAnsi="宋体"/>
          <w:bCs/>
          <w:color w:val="auto"/>
          <w:szCs w:val="21"/>
          <w:highlight w:val="none"/>
        </w:rPr>
        <w:t>指报告期当年企业主导制定形成的国际标准数。</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累计形成国家或行业标准</w:t>
      </w:r>
      <w:r>
        <w:rPr>
          <w:rFonts w:hint="eastAsia" w:ascii="宋体" w:hAnsi="宋体"/>
          <w:bCs/>
          <w:color w:val="auto"/>
          <w:szCs w:val="21"/>
          <w:highlight w:val="none"/>
        </w:rPr>
        <w:t>指截至报告期末企业在自主研发或自主知识产权基础上形成的经有关部门批准的国家或行业标准项数。国家标准是指由国家标准化主管机构批准发布，对全国经济、技术发展有重大意义，且在全国范围内统一的标准。行业标准由行业标准归口部门编制计划、审批、编号、发布、管理。</w:t>
      </w:r>
      <w:r>
        <w:rPr>
          <w:color w:val="auto"/>
          <w:highlight w:val="none"/>
        </w:rPr>
        <w:fldChar w:fldCharType="begin"/>
      </w:r>
      <w:r>
        <w:rPr>
          <w:color w:val="auto"/>
          <w:highlight w:val="none"/>
        </w:rPr>
        <w:instrText xml:space="preserve"> HYPERLINK "http://www.farrali.net/post/2004-motor-standard.html" </w:instrText>
      </w:r>
      <w:r>
        <w:rPr>
          <w:color w:val="auto"/>
          <w:highlight w:val="none"/>
        </w:rPr>
        <w:fldChar w:fldCharType="separate"/>
      </w:r>
      <w:r>
        <w:rPr>
          <w:rFonts w:hint="eastAsia" w:ascii="宋体" w:hAnsi="宋体"/>
          <w:bCs/>
          <w:color w:val="auto"/>
          <w:szCs w:val="21"/>
          <w:highlight w:val="none"/>
        </w:rPr>
        <w:t>行业标准</w:t>
      </w:r>
      <w:r>
        <w:rPr>
          <w:rFonts w:hint="eastAsia" w:ascii="宋体" w:hAnsi="宋体"/>
          <w:bCs/>
          <w:color w:val="auto"/>
          <w:szCs w:val="21"/>
          <w:highlight w:val="none"/>
        </w:rPr>
        <w:fldChar w:fldCharType="end"/>
      </w:r>
      <w:r>
        <w:rPr>
          <w:rFonts w:hint="eastAsia" w:ascii="宋体" w:hAnsi="宋体"/>
          <w:bCs/>
          <w:color w:val="auto"/>
          <w:szCs w:val="21"/>
          <w:highlight w:val="none"/>
        </w:rPr>
        <w:t>的归口部门及其所管理的行业标准范围，由国务院行政主管部门审定。对没有国家标准又需要在全国某个行业范围内统一的技术要求，可以制定</w:t>
      </w:r>
      <w:r>
        <w:rPr>
          <w:color w:val="auto"/>
          <w:highlight w:val="none"/>
        </w:rPr>
        <w:fldChar w:fldCharType="begin"/>
      </w:r>
      <w:r>
        <w:rPr>
          <w:color w:val="auto"/>
          <w:highlight w:val="none"/>
        </w:rPr>
        <w:instrText xml:space="preserve"> HYPERLINK "http://www.farrali.net/post/motor-jb-standard.html" </w:instrText>
      </w:r>
      <w:r>
        <w:rPr>
          <w:color w:val="auto"/>
          <w:highlight w:val="none"/>
        </w:rPr>
        <w:fldChar w:fldCharType="separate"/>
      </w:r>
      <w:r>
        <w:rPr>
          <w:rFonts w:hint="eastAsia" w:ascii="宋体" w:hAnsi="宋体"/>
          <w:bCs/>
          <w:color w:val="auto"/>
          <w:szCs w:val="21"/>
          <w:highlight w:val="none"/>
        </w:rPr>
        <w:t>行业标准</w:t>
      </w:r>
      <w:r>
        <w:rPr>
          <w:rFonts w:hint="eastAsia" w:ascii="宋体" w:hAnsi="宋体"/>
          <w:bCs/>
          <w:color w:val="auto"/>
          <w:szCs w:val="21"/>
          <w:highlight w:val="none"/>
        </w:rPr>
        <w:fldChar w:fldCharType="end"/>
      </w:r>
      <w:r>
        <w:rPr>
          <w:rFonts w:hint="eastAsia" w:ascii="宋体" w:hAnsi="宋体"/>
          <w:bCs/>
          <w:color w:val="auto"/>
          <w:szCs w:val="21"/>
          <w:highlight w:val="none"/>
        </w:rPr>
        <w:t>，是专业性、技术性较强的标准。作为对国家标准的补充，当相应的国家标准实施后，该行业标准应自行废止。</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当年形成国家或行业标准</w:t>
      </w:r>
      <w:r>
        <w:rPr>
          <w:rFonts w:hint="eastAsia" w:ascii="宋体" w:hAnsi="宋体"/>
          <w:bCs/>
          <w:color w:val="auto"/>
          <w:szCs w:val="21"/>
          <w:highlight w:val="none"/>
        </w:rPr>
        <w:t>指报告期内企业在自主研究开发或自主知识产权基础上形成的经有关部门批准的国家或行业标准项数。</w:t>
      </w:r>
    </w:p>
    <w:p>
      <w:pPr>
        <w:widowControl/>
        <w:spacing w:line="400" w:lineRule="exact"/>
        <w:ind w:firstLine="420"/>
        <w:jc w:val="left"/>
        <w:rPr>
          <w:rFonts w:hint="default" w:ascii="Times New Roman" w:hAnsi="Times New Roman" w:eastAsia="黑体" w:cs="Times New Roman"/>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近两年承担建设</w:t>
      </w:r>
      <w:r>
        <w:rPr>
          <w:rFonts w:hint="default" w:ascii="Times New Roman" w:hAnsi="Times New Roman" w:eastAsia="黑体" w:cs="Times New Roman"/>
          <w:bCs/>
          <w:color w:val="auto"/>
          <w:szCs w:val="21"/>
          <w:highlight w:val="none"/>
          <w:lang w:val="en-US" w:eastAsia="zh-CN"/>
        </w:rPr>
        <w:t>省级及以上研发或创新平台</w:t>
      </w:r>
      <w:r>
        <w:rPr>
          <w:rFonts w:hint="eastAsia" w:ascii="Times New Roman" w:hAnsi="Times New Roman" w:eastAsia="黑体" w:cs="Times New Roman"/>
          <w:bCs/>
          <w:color w:val="auto"/>
          <w:szCs w:val="21"/>
          <w:highlight w:val="none"/>
          <w:lang w:val="en-US" w:eastAsia="zh-CN"/>
        </w:rPr>
        <w:t>数量</w:t>
      </w:r>
      <w:r>
        <w:rPr>
          <w:rFonts w:hint="eastAsia" w:ascii="宋体" w:hAnsi="宋体" w:eastAsia="宋体" w:cs="宋体"/>
          <w:bCs/>
          <w:color w:val="auto"/>
          <w:szCs w:val="21"/>
          <w:highlight w:val="none"/>
          <w:lang w:val="en-US" w:eastAsia="zh-CN"/>
        </w:rPr>
        <w:t>指企业近两年获批的省级及以上重点实验室、工程中心等</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pPr>
        <w:widowControl/>
        <w:spacing w:line="400" w:lineRule="exact"/>
        <w:ind w:firstLine="420"/>
        <w:jc w:val="left"/>
        <w:rPr>
          <w:rFonts w:hint="default" w:ascii="Times New Roman" w:hAnsi="Times New Roman" w:eastAsia="黑体" w:cs="Times New Roman"/>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近两年获得省级及以上科技奖励数量</w:t>
      </w:r>
      <w:r>
        <w:rPr>
          <w:rFonts w:hint="eastAsia" w:ascii="宋体" w:hAnsi="宋体" w:eastAsia="宋体" w:cs="宋体"/>
          <w:bCs/>
          <w:color w:val="auto"/>
          <w:szCs w:val="21"/>
          <w:highlight w:val="none"/>
          <w:lang w:val="en-US" w:eastAsia="zh-CN"/>
        </w:rPr>
        <w:t>指企业近两年作为第一单位获得的省级及以上科技奖励数量</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pPr>
        <w:widowControl/>
        <w:spacing w:line="400" w:lineRule="exact"/>
        <w:ind w:firstLine="420"/>
        <w:jc w:val="left"/>
        <w:rPr>
          <w:rFonts w:hint="eastAsia" w:ascii="宋体" w:hAnsi="宋体" w:eastAsia="宋体" w:cs="宋体"/>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近两年承担省级及以上科技计划项目数量</w:t>
      </w:r>
      <w:r>
        <w:rPr>
          <w:rFonts w:hint="eastAsia" w:ascii="宋体" w:hAnsi="宋体" w:eastAsia="宋体" w:cs="宋体"/>
          <w:bCs/>
          <w:color w:val="auto"/>
          <w:szCs w:val="21"/>
          <w:highlight w:val="none"/>
          <w:lang w:val="en-US" w:eastAsia="zh-CN"/>
        </w:rPr>
        <w:t>指企业近两年作为牵头单位承担的省级及以上科技计划项目数量（国家级科技计划项目可为项目或课题）</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pPr>
        <w:widowControl/>
        <w:spacing w:line="400" w:lineRule="exact"/>
        <w:ind w:firstLine="420" w:firstLineChars="200"/>
        <w:jc w:val="left"/>
        <w:rPr>
          <w:rFonts w:ascii="Times New Roman" w:hAnsi="Times New Roman"/>
          <w:color w:val="auto"/>
          <w:szCs w:val="21"/>
          <w:highlight w:val="none"/>
        </w:rPr>
      </w:pPr>
      <w:r>
        <w:rPr>
          <w:rFonts w:ascii="Times New Roman" w:hAnsi="Times New Roman" w:eastAsia="黑体"/>
          <w:bCs/>
          <w:color w:val="auto"/>
          <w:szCs w:val="21"/>
          <w:highlight w:val="none"/>
        </w:rPr>
        <w:t>认定登记的技术合同项数</w:t>
      </w:r>
      <w:r>
        <w:rPr>
          <w:rFonts w:ascii="Times New Roman" w:hAnsi="Times New Roman"/>
          <w:bCs/>
          <w:color w:val="auto"/>
          <w:szCs w:val="21"/>
          <w:highlight w:val="none"/>
        </w:rPr>
        <w:t>指报告期内企业在</w:t>
      </w:r>
      <w:r>
        <w:rPr>
          <w:rFonts w:hint="eastAsia" w:ascii="Times New Roman" w:hAnsi="Times New Roman"/>
          <w:bCs/>
          <w:color w:val="auto"/>
          <w:szCs w:val="21"/>
          <w:highlight w:val="none"/>
          <w:lang w:eastAsia="zh-CN"/>
        </w:rPr>
        <w:t>工业和信息化部</w:t>
      </w:r>
      <w:r>
        <w:rPr>
          <w:rFonts w:ascii="Times New Roman" w:hAnsi="Times New Roman"/>
          <w:bCs/>
          <w:color w:val="auto"/>
          <w:szCs w:val="21"/>
          <w:highlight w:val="none"/>
        </w:rPr>
        <w:t>进行认定登记的技术合同数量。</w:t>
      </w:r>
      <w:bookmarkStart w:id="34" w:name="_Hlk121748608"/>
      <w:r>
        <w:rPr>
          <w:rFonts w:ascii="Times New Roman" w:hAnsi="Times New Roman"/>
          <w:bCs/>
          <w:color w:val="auto"/>
          <w:szCs w:val="21"/>
          <w:highlight w:val="none"/>
        </w:rPr>
        <w:t>技术合同的类型包括5类：技术开发、技术转让、技术许可、技术咨询和技术服务。</w:t>
      </w:r>
      <w:bookmarkEnd w:id="34"/>
      <w:r>
        <w:rPr>
          <w:rFonts w:hint="eastAsia" w:ascii="Times New Roman" w:hAnsi="Times New Roman"/>
          <w:color w:val="auto"/>
          <w:szCs w:val="21"/>
          <w:highlight w:val="none"/>
        </w:rPr>
        <w:t>不包括获得国家和省市各类支持计划所签订的技术合同。</w:t>
      </w:r>
    </w:p>
    <w:p>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从境外引进技术合同数</w:t>
      </w:r>
      <w:r>
        <w:rPr>
          <w:rFonts w:ascii="Times New Roman" w:hAnsi="Times New Roman"/>
          <w:bCs/>
          <w:color w:val="auto"/>
          <w:highlight w:val="none"/>
        </w:rPr>
        <w:t>指报告期内企业在</w:t>
      </w:r>
      <w:r>
        <w:rPr>
          <w:rFonts w:hint="eastAsia" w:ascii="Times New Roman" w:hAnsi="Times New Roman"/>
          <w:bCs/>
          <w:color w:val="auto"/>
          <w:highlight w:val="none"/>
          <w:lang w:eastAsia="zh-CN"/>
        </w:rPr>
        <w:t>工业和信息化部</w:t>
      </w:r>
      <w:r>
        <w:rPr>
          <w:rFonts w:ascii="Times New Roman" w:hAnsi="Times New Roman"/>
          <w:bCs/>
          <w:color w:val="auto"/>
          <w:highlight w:val="none"/>
        </w:rPr>
        <w:t>进行认定登记的境外引进技术合同数量。</w:t>
      </w:r>
    </w:p>
    <w:p>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向境外输出技术合同数</w:t>
      </w:r>
      <w:r>
        <w:rPr>
          <w:rFonts w:ascii="Times New Roman" w:hAnsi="Times New Roman"/>
          <w:bCs/>
          <w:color w:val="auto"/>
          <w:highlight w:val="none"/>
        </w:rPr>
        <w:t>指报告期内企业在</w:t>
      </w:r>
      <w:r>
        <w:rPr>
          <w:rFonts w:hint="eastAsia" w:ascii="Times New Roman" w:hAnsi="Times New Roman"/>
          <w:bCs/>
          <w:color w:val="auto"/>
          <w:highlight w:val="none"/>
          <w:lang w:eastAsia="zh-CN"/>
        </w:rPr>
        <w:t>工业和信息化部</w:t>
      </w:r>
      <w:r>
        <w:rPr>
          <w:rFonts w:ascii="Times New Roman" w:hAnsi="Times New Roman"/>
          <w:bCs/>
          <w:color w:val="auto"/>
          <w:highlight w:val="none"/>
        </w:rPr>
        <w:t>进行认定登记的向境外输出技术合同数量。</w:t>
      </w:r>
    </w:p>
    <w:p>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认定登记的技术合同成交金额</w:t>
      </w:r>
      <w:r>
        <w:rPr>
          <w:rFonts w:hint="eastAsia" w:ascii="宋体" w:hAnsi="宋体" w:cs="仿宋_GB2312"/>
          <w:bCs/>
          <w:color w:val="auto"/>
          <w:szCs w:val="18"/>
          <w:highlight w:val="none"/>
        </w:rPr>
        <w:t>指报告期内企业作为卖方签订成立的技术合同成交项目的总金额。</w:t>
      </w:r>
    </w:p>
    <w:p>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从境外引进技术合同成交金额</w:t>
      </w:r>
      <w:r>
        <w:rPr>
          <w:rFonts w:ascii="Times New Roman" w:hAnsi="Times New Roman"/>
          <w:bCs/>
          <w:color w:val="auto"/>
          <w:szCs w:val="18"/>
          <w:highlight w:val="none"/>
        </w:rPr>
        <w:t>指报告期内企业签订成立的境外引进技术合同成交项目的总金额。</w:t>
      </w:r>
    </w:p>
    <w:p>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向境外输出技术合同成交金额</w:t>
      </w:r>
      <w:r>
        <w:rPr>
          <w:rFonts w:ascii="Times New Roman" w:hAnsi="Times New Roman"/>
          <w:bCs/>
          <w:color w:val="auto"/>
          <w:szCs w:val="18"/>
          <w:highlight w:val="none"/>
        </w:rPr>
        <w:t>指报告期内企业签订成立的向境外输出技术合同成交项目的总金额。</w:t>
      </w:r>
    </w:p>
    <w:p>
      <w:pPr>
        <w:spacing w:line="360" w:lineRule="exact"/>
        <w:ind w:firstLine="420" w:firstLineChars="200"/>
        <w:rPr>
          <w:rFonts w:ascii="宋体" w:cs="宋体"/>
          <w:color w:val="auto"/>
          <w:highlight w:val="none"/>
        </w:rPr>
      </w:pPr>
      <w:r>
        <w:rPr>
          <w:rFonts w:hint="eastAsia" w:ascii="黑体" w:hAnsi="宋体" w:eastAsia="黑体" w:cs="黑体"/>
          <w:color w:val="auto"/>
          <w:highlight w:val="none"/>
        </w:rPr>
        <w:t>技术改造经费支出</w:t>
      </w:r>
      <w:r>
        <w:rPr>
          <w:rFonts w:hint="eastAsia" w:ascii="宋体" w:hAnsi="宋体" w:cs="宋体"/>
          <w:color w:val="auto"/>
          <w:highlight w:val="none"/>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pPr>
        <w:spacing w:line="360" w:lineRule="exact"/>
        <w:ind w:firstLine="420" w:firstLineChars="200"/>
        <w:rPr>
          <w:rFonts w:ascii="宋体"/>
          <w:color w:val="auto"/>
          <w:highlight w:val="none"/>
        </w:rPr>
      </w:pPr>
      <w:r>
        <w:rPr>
          <w:rFonts w:hint="eastAsia" w:ascii="黑体" w:hAnsi="宋体" w:eastAsia="黑体" w:cs="黑体"/>
          <w:color w:val="auto"/>
          <w:highlight w:val="none"/>
        </w:rPr>
        <w:t>购买境内技术经费支出</w:t>
      </w:r>
      <w:r>
        <w:rPr>
          <w:rFonts w:hint="eastAsia" w:ascii="宋体" w:hAnsi="宋体" w:cs="宋体"/>
          <w:color w:val="auto"/>
          <w:highlight w:val="none"/>
        </w:rPr>
        <w:t>指报告期内企业购买境内其他单位科技成果的经费支出。包括购买产品设计、工艺流程、图纸、配方、专利、技术诀窍及设备的费用支出。</w:t>
      </w:r>
    </w:p>
    <w:p>
      <w:pPr>
        <w:spacing w:line="360" w:lineRule="exact"/>
        <w:ind w:firstLine="420" w:firstLineChars="200"/>
        <w:rPr>
          <w:rFonts w:ascii="宋体"/>
          <w:color w:val="auto"/>
          <w:spacing w:val="4"/>
          <w:highlight w:val="none"/>
        </w:rPr>
      </w:pPr>
      <w:r>
        <w:rPr>
          <w:rFonts w:hint="eastAsia" w:ascii="黑体" w:hAnsi="宋体" w:eastAsia="黑体" w:cs="黑体"/>
          <w:color w:val="auto"/>
          <w:highlight w:val="none"/>
        </w:rPr>
        <w:t>引进境外技术经费支出</w:t>
      </w:r>
      <w:r>
        <w:rPr>
          <w:rFonts w:hint="eastAsia" w:ascii="宋体" w:hAnsi="宋体" w:cs="宋体"/>
          <w:color w:val="auto"/>
          <w:spacing w:val="4"/>
          <w:highlight w:val="none"/>
        </w:rPr>
        <w:t>指报告期内企业用于购买国外或港澳台技术的费用支出，包括产品设计、工艺流程、图纸、配方、专利等技术资料的费用支出，以及购买设备、仪器、样机和样件等的费用支出。</w:t>
      </w:r>
    </w:p>
    <w:p>
      <w:pPr>
        <w:widowControl/>
        <w:spacing w:line="400" w:lineRule="exact"/>
        <w:ind w:firstLine="420" w:firstLineChars="200"/>
        <w:jc w:val="left"/>
        <w:rPr>
          <w:rFonts w:ascii="Times New Roman" w:hAnsi="Times New Roman"/>
          <w:bCs/>
          <w:color w:val="auto"/>
          <w:szCs w:val="21"/>
          <w:highlight w:val="none"/>
        </w:rPr>
      </w:pPr>
      <w:r>
        <w:rPr>
          <w:rFonts w:hint="eastAsia" w:ascii="黑体" w:hAnsi="宋体" w:eastAsia="黑体" w:cs="黑体"/>
          <w:color w:val="auto"/>
          <w:highlight w:val="none"/>
        </w:rPr>
        <w:t>引进境外技术的消化吸收经费支出</w:t>
      </w:r>
      <w:r>
        <w:rPr>
          <w:rFonts w:hint="eastAsia" w:ascii="宋体" w:hAnsi="宋体" w:cs="宋体"/>
          <w:color w:val="auto"/>
          <w:highlight w:val="none"/>
        </w:rPr>
        <w:t>指报告期内企业引进国外或</w:t>
      </w:r>
      <w:r>
        <w:rPr>
          <w:rFonts w:ascii="宋体" w:hAnsi="宋体" w:cs="宋体"/>
          <w:color w:val="auto"/>
          <w:highlight w:val="none"/>
        </w:rPr>
        <w:t>港澳台</w:t>
      </w:r>
      <w:r>
        <w:rPr>
          <w:rFonts w:hint="eastAsia" w:ascii="宋体" w:hAnsi="宋体" w:cs="宋体"/>
          <w:color w:val="auto"/>
          <w:highlight w:val="none"/>
        </w:rPr>
        <w:t>技术的消化吸收经费支出。引进技术的消化吸收指对引进技术的掌握、应用、复制</w:t>
      </w:r>
      <w:r>
        <w:rPr>
          <w:rFonts w:hint="eastAsia" w:ascii="宋体" w:hAnsi="宋体" w:cs="宋体"/>
          <w:color w:val="auto"/>
          <w:spacing w:val="2"/>
          <w:highlight w:val="none"/>
        </w:rPr>
        <w:t>而开展的工作，以及在此基础上的创新。引进技术的消化吸收经费支出包括：人员培训费、</w:t>
      </w:r>
      <w:r>
        <w:rPr>
          <w:rFonts w:hint="eastAsia" w:ascii="宋体" w:hAnsi="宋体" w:cs="宋体"/>
          <w:color w:val="auto"/>
          <w:highlight w:val="none"/>
        </w:rPr>
        <w:t>测绘费、参加消化吸收人员的工资、工装、工艺开发费、必备的配套设备费、翻版费等。</w:t>
      </w:r>
    </w:p>
    <w:p>
      <w:pPr>
        <w:widowControl/>
        <w:spacing w:line="400" w:lineRule="exact"/>
        <w:ind w:firstLine="420" w:firstLineChars="200"/>
        <w:jc w:val="left"/>
        <w:rPr>
          <w:rFonts w:ascii="Times New Roman" w:hAnsi="Times New Roman"/>
          <w:bCs/>
          <w:color w:val="auto"/>
          <w:sz w:val="24"/>
          <w:szCs w:val="24"/>
          <w:highlight w:val="none"/>
        </w:rPr>
      </w:pPr>
      <w:r>
        <w:rPr>
          <w:rFonts w:ascii="Times New Roman" w:hAnsi="Times New Roman" w:eastAsia="黑体"/>
          <w:bCs/>
          <w:color w:val="auto"/>
          <w:szCs w:val="21"/>
          <w:highlight w:val="none"/>
        </w:rPr>
        <w:t>期末企业在境外设立的营销服务机构数</w:t>
      </w:r>
      <w:r>
        <w:rPr>
          <w:rFonts w:ascii="Times New Roman" w:hAnsi="Times New Roman"/>
          <w:bCs/>
          <w:color w:val="auto"/>
          <w:szCs w:val="21"/>
          <w:highlight w:val="none"/>
        </w:rPr>
        <w:t>指报告期末企业在国外或港澳台自办（或与外单位合办）的专门负责营销及服务的机构数量。与外单位合办的营销服务机构若主要由本企业出资兴办，则由本企业统计，否则应由合办方统计。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期末企业在境外设立的研究开发机构数</w:t>
      </w:r>
      <w:r>
        <w:rPr>
          <w:rFonts w:ascii="Times New Roman" w:hAnsi="Times New Roman"/>
          <w:bCs/>
          <w:color w:val="auto"/>
          <w:szCs w:val="21"/>
          <w:highlight w:val="none"/>
        </w:rPr>
        <w:t>指报告期末企业在国外或港澳台自办（或与外单位合办）的专门研究开发机构。与外单位合办的研究开发机构若主要由本企业出资兴办，则由本企业统计，否则应由合办方统计。</w:t>
      </w:r>
    </w:p>
    <w:p>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期末企业在境外设立的生产制造基地数</w:t>
      </w:r>
      <w:r>
        <w:rPr>
          <w:rFonts w:ascii="Times New Roman" w:hAnsi="Times New Roman"/>
          <w:bCs/>
          <w:color w:val="auto"/>
          <w:szCs w:val="21"/>
          <w:highlight w:val="none"/>
        </w:rPr>
        <w:t>指报告期末企业在国外或港澳台自办（或与外单位合办）的生产制造基地数。与外单位合办的生产制造基地若主要由本企业出资兴办，则由本企业统计，否则应由合办方统计。</w:t>
      </w:r>
    </w:p>
    <w:p>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当年在境外设立分支机构数量</w:t>
      </w:r>
      <w:r>
        <w:rPr>
          <w:rFonts w:ascii="Times New Roman" w:hAnsi="Times New Roman"/>
          <w:bCs/>
          <w:color w:val="auto"/>
          <w:szCs w:val="21"/>
          <w:highlight w:val="none"/>
        </w:rPr>
        <w:t>指报告期当年企业在国外或港澳台自办（或与外单位合办）的营销服务机构、研究开发机构和生产制造基地的总数。与外单位合办的若主要由本企业出资兴办，则由本企业统计，否则应由合办方统计。</w:t>
      </w:r>
    </w:p>
    <w:bookmarkEnd w:id="1"/>
    <w:p>
      <w:pPr>
        <w:rPr>
          <w:color w:val="auto"/>
          <w:highlight w: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tabs>
          <w:tab w:val="left" w:pos="645"/>
        </w:tabs>
        <w:jc w:val="left"/>
        <w:outlineLvl w:val="9"/>
        <w:rPr>
          <w:color w:val="auto"/>
          <w:highlight w:val="none"/>
        </w:rPr>
      </w:pPr>
      <w:bookmarkStart w:id="35" w:name="_Toc530752901"/>
      <w:bookmarkStart w:id="36" w:name="_Toc525748073"/>
    </w:p>
    <w:bookmarkEnd w:id="35"/>
    <w:bookmarkEnd w:id="36"/>
    <w:p>
      <w:pPr>
        <w:pStyle w:val="33"/>
        <w:ind w:left="0" w:leftChars="0" w:firstLine="0" w:firstLineChars="0"/>
        <w:rPr>
          <w:rFonts w:hint="default"/>
          <w:color w:val="auto"/>
          <w:highlight w:val="none"/>
        </w:rPr>
      </w:pPr>
    </w:p>
    <w:sectPr>
      <w:headerReference r:id="rId3" w:type="default"/>
      <w:footerReference r:id="rId4" w:type="default"/>
      <w:pgSz w:w="11906" w:h="16838"/>
      <w:pgMar w:top="1417" w:right="1247" w:bottom="1247" w:left="1247" w:header="851" w:footer="73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Times New Roman"/>
    <w:panose1 w:val="020B0604020202020204"/>
    <w:charset w:val="00"/>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Century">
    <w:altName w:val="Nyala"/>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sz w:val="21"/>
        <w:szCs w:val="21"/>
        <w:lang w:eastAsia="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pStyle w:val="148"/>
      <w:lvlText w:val="%1."/>
      <w:lvlJc w:val="left"/>
      <w:pPr>
        <w:tabs>
          <w:tab w:val="left" w:pos="1020"/>
        </w:tabs>
        <w:ind w:left="1020" w:hanging="330"/>
      </w:pPr>
      <w:rPr>
        <w:rFonts w:hint="eastAsia"/>
      </w:rPr>
    </w:lvl>
  </w:abstractNum>
  <w:abstractNum w:abstractNumId="1">
    <w:nsid w:val="5D9C0DF8"/>
    <w:multiLevelType w:val="singleLevel"/>
    <w:tmpl w:val="5D9C0DF8"/>
    <w:lvl w:ilvl="0" w:tentative="0">
      <w:start w:val="1"/>
      <w:numFmt w:val="decimal"/>
      <w:suff w:val="nothing"/>
      <w:lvlText w:val="（%1）"/>
      <w:lvlJc w:val="left"/>
    </w:lvl>
  </w:abstractNum>
  <w:abstractNum w:abstractNumId="2">
    <w:nsid w:val="7F7D3086"/>
    <w:multiLevelType w:val="singleLevel"/>
    <w:tmpl w:val="7F7D3086"/>
    <w:lvl w:ilvl="0" w:tentative="0">
      <w:start w:val="1"/>
      <w:numFmt w:val="chineseCounting"/>
      <w:pStyle w:val="112"/>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ZGZmZmRjMTQyZDU0MzUzYTk2N2I5NTU5NDRjNTAifQ=="/>
  </w:docVars>
  <w:rsids>
    <w:rsidRoot w:val="00735758"/>
    <w:rsid w:val="00000442"/>
    <w:rsid w:val="00000FAD"/>
    <w:rsid w:val="00001E2A"/>
    <w:rsid w:val="00005169"/>
    <w:rsid w:val="000073B9"/>
    <w:rsid w:val="0001112D"/>
    <w:rsid w:val="000113E3"/>
    <w:rsid w:val="000206FA"/>
    <w:rsid w:val="000242C8"/>
    <w:rsid w:val="00025E6C"/>
    <w:rsid w:val="00026A27"/>
    <w:rsid w:val="00032123"/>
    <w:rsid w:val="00047712"/>
    <w:rsid w:val="00047FAB"/>
    <w:rsid w:val="000518A3"/>
    <w:rsid w:val="000520BB"/>
    <w:rsid w:val="00054B9E"/>
    <w:rsid w:val="000567AF"/>
    <w:rsid w:val="00057EEC"/>
    <w:rsid w:val="00060643"/>
    <w:rsid w:val="000609DF"/>
    <w:rsid w:val="0006111A"/>
    <w:rsid w:val="000611A0"/>
    <w:rsid w:val="00070A13"/>
    <w:rsid w:val="00071697"/>
    <w:rsid w:val="00071E0E"/>
    <w:rsid w:val="0007469F"/>
    <w:rsid w:val="000749A7"/>
    <w:rsid w:val="000763BF"/>
    <w:rsid w:val="000765CE"/>
    <w:rsid w:val="000779F6"/>
    <w:rsid w:val="00077CF1"/>
    <w:rsid w:val="00084CF2"/>
    <w:rsid w:val="00085317"/>
    <w:rsid w:val="00085C62"/>
    <w:rsid w:val="00085F48"/>
    <w:rsid w:val="000873CD"/>
    <w:rsid w:val="000903F9"/>
    <w:rsid w:val="000930BE"/>
    <w:rsid w:val="00097261"/>
    <w:rsid w:val="000A04CB"/>
    <w:rsid w:val="000A5737"/>
    <w:rsid w:val="000A5EC6"/>
    <w:rsid w:val="000A6564"/>
    <w:rsid w:val="000B23CD"/>
    <w:rsid w:val="000B4A10"/>
    <w:rsid w:val="000B694B"/>
    <w:rsid w:val="000C2C45"/>
    <w:rsid w:val="000C392B"/>
    <w:rsid w:val="000C52DE"/>
    <w:rsid w:val="000C55F8"/>
    <w:rsid w:val="000C7378"/>
    <w:rsid w:val="000E1363"/>
    <w:rsid w:val="000E243D"/>
    <w:rsid w:val="000E5300"/>
    <w:rsid w:val="000E6F0B"/>
    <w:rsid w:val="000F21C5"/>
    <w:rsid w:val="000F325C"/>
    <w:rsid w:val="000F4E4F"/>
    <w:rsid w:val="000F55A3"/>
    <w:rsid w:val="000F7269"/>
    <w:rsid w:val="00101A88"/>
    <w:rsid w:val="00103A0E"/>
    <w:rsid w:val="00103F99"/>
    <w:rsid w:val="001050C0"/>
    <w:rsid w:val="00105253"/>
    <w:rsid w:val="00105DE8"/>
    <w:rsid w:val="001064E7"/>
    <w:rsid w:val="0010703F"/>
    <w:rsid w:val="0011007D"/>
    <w:rsid w:val="00110215"/>
    <w:rsid w:val="00110602"/>
    <w:rsid w:val="00113290"/>
    <w:rsid w:val="00116518"/>
    <w:rsid w:val="00116C72"/>
    <w:rsid w:val="00122BCE"/>
    <w:rsid w:val="00124DF8"/>
    <w:rsid w:val="00125881"/>
    <w:rsid w:val="00126531"/>
    <w:rsid w:val="00130BDB"/>
    <w:rsid w:val="00131AF1"/>
    <w:rsid w:val="00133688"/>
    <w:rsid w:val="00135E6B"/>
    <w:rsid w:val="0013777D"/>
    <w:rsid w:val="0014058A"/>
    <w:rsid w:val="00144BEF"/>
    <w:rsid w:val="00145111"/>
    <w:rsid w:val="0014584C"/>
    <w:rsid w:val="00145A9B"/>
    <w:rsid w:val="00146065"/>
    <w:rsid w:val="00152702"/>
    <w:rsid w:val="001568F7"/>
    <w:rsid w:val="00157A73"/>
    <w:rsid w:val="001642CA"/>
    <w:rsid w:val="00166B3D"/>
    <w:rsid w:val="00166EE6"/>
    <w:rsid w:val="00167294"/>
    <w:rsid w:val="00175237"/>
    <w:rsid w:val="00183CEE"/>
    <w:rsid w:val="00185368"/>
    <w:rsid w:val="00191B15"/>
    <w:rsid w:val="001935C3"/>
    <w:rsid w:val="00196A30"/>
    <w:rsid w:val="001A07E2"/>
    <w:rsid w:val="001A1C7F"/>
    <w:rsid w:val="001A3CEB"/>
    <w:rsid w:val="001A3F43"/>
    <w:rsid w:val="001A407C"/>
    <w:rsid w:val="001A5FDD"/>
    <w:rsid w:val="001A7B64"/>
    <w:rsid w:val="001B3829"/>
    <w:rsid w:val="001B4362"/>
    <w:rsid w:val="001C0B4C"/>
    <w:rsid w:val="001C6930"/>
    <w:rsid w:val="001C6BE3"/>
    <w:rsid w:val="001D3088"/>
    <w:rsid w:val="001D3A39"/>
    <w:rsid w:val="001D401F"/>
    <w:rsid w:val="001D6335"/>
    <w:rsid w:val="001D75B6"/>
    <w:rsid w:val="001E2BB4"/>
    <w:rsid w:val="001E79A2"/>
    <w:rsid w:val="001F1746"/>
    <w:rsid w:val="002166A6"/>
    <w:rsid w:val="002176AA"/>
    <w:rsid w:val="002279C4"/>
    <w:rsid w:val="00235F8C"/>
    <w:rsid w:val="00240A01"/>
    <w:rsid w:val="00240F0C"/>
    <w:rsid w:val="00242663"/>
    <w:rsid w:val="00242864"/>
    <w:rsid w:val="00247E66"/>
    <w:rsid w:val="00250572"/>
    <w:rsid w:val="00250602"/>
    <w:rsid w:val="00250AE4"/>
    <w:rsid w:val="00250C60"/>
    <w:rsid w:val="00250FD8"/>
    <w:rsid w:val="002521B0"/>
    <w:rsid w:val="002549CF"/>
    <w:rsid w:val="0025641F"/>
    <w:rsid w:val="00260CD7"/>
    <w:rsid w:val="00261B39"/>
    <w:rsid w:val="00264CBB"/>
    <w:rsid w:val="00265326"/>
    <w:rsid w:val="002706EA"/>
    <w:rsid w:val="002775EC"/>
    <w:rsid w:val="00280117"/>
    <w:rsid w:val="00280325"/>
    <w:rsid w:val="00282069"/>
    <w:rsid w:val="00283221"/>
    <w:rsid w:val="00290A5C"/>
    <w:rsid w:val="00293F30"/>
    <w:rsid w:val="002942BA"/>
    <w:rsid w:val="00295077"/>
    <w:rsid w:val="00296C01"/>
    <w:rsid w:val="002A0874"/>
    <w:rsid w:val="002B1C52"/>
    <w:rsid w:val="002B22B3"/>
    <w:rsid w:val="002B4EB4"/>
    <w:rsid w:val="002C1614"/>
    <w:rsid w:val="002C186A"/>
    <w:rsid w:val="002C2421"/>
    <w:rsid w:val="002C4470"/>
    <w:rsid w:val="002C7F8D"/>
    <w:rsid w:val="002D0AA4"/>
    <w:rsid w:val="002D29ED"/>
    <w:rsid w:val="002D3230"/>
    <w:rsid w:val="002D5F02"/>
    <w:rsid w:val="002D7311"/>
    <w:rsid w:val="002D74BC"/>
    <w:rsid w:val="002D74EB"/>
    <w:rsid w:val="002E0D84"/>
    <w:rsid w:val="002E162C"/>
    <w:rsid w:val="002E2642"/>
    <w:rsid w:val="002E571D"/>
    <w:rsid w:val="002F0CF1"/>
    <w:rsid w:val="00315FD3"/>
    <w:rsid w:val="00320A72"/>
    <w:rsid w:val="0032262E"/>
    <w:rsid w:val="00322D6C"/>
    <w:rsid w:val="00330B53"/>
    <w:rsid w:val="00333D4A"/>
    <w:rsid w:val="00335234"/>
    <w:rsid w:val="00343516"/>
    <w:rsid w:val="00344E37"/>
    <w:rsid w:val="0034684C"/>
    <w:rsid w:val="0034794B"/>
    <w:rsid w:val="003503A0"/>
    <w:rsid w:val="0035060B"/>
    <w:rsid w:val="00350BC6"/>
    <w:rsid w:val="003542E2"/>
    <w:rsid w:val="00364C85"/>
    <w:rsid w:val="00376A01"/>
    <w:rsid w:val="00380A62"/>
    <w:rsid w:val="0038131E"/>
    <w:rsid w:val="00382D56"/>
    <w:rsid w:val="003839B0"/>
    <w:rsid w:val="00385C97"/>
    <w:rsid w:val="00387FBD"/>
    <w:rsid w:val="003939A6"/>
    <w:rsid w:val="003A33F2"/>
    <w:rsid w:val="003A7C35"/>
    <w:rsid w:val="003B0E95"/>
    <w:rsid w:val="003B12B2"/>
    <w:rsid w:val="003B39BE"/>
    <w:rsid w:val="003B3DCA"/>
    <w:rsid w:val="003C50B2"/>
    <w:rsid w:val="003C5E91"/>
    <w:rsid w:val="003C60B8"/>
    <w:rsid w:val="003D0CB3"/>
    <w:rsid w:val="003D2E62"/>
    <w:rsid w:val="003E0331"/>
    <w:rsid w:val="003E538E"/>
    <w:rsid w:val="003E6774"/>
    <w:rsid w:val="003E789F"/>
    <w:rsid w:val="003F6DF4"/>
    <w:rsid w:val="003F71B4"/>
    <w:rsid w:val="003F7205"/>
    <w:rsid w:val="00400685"/>
    <w:rsid w:val="004031AF"/>
    <w:rsid w:val="00403E20"/>
    <w:rsid w:val="00406C48"/>
    <w:rsid w:val="0040775B"/>
    <w:rsid w:val="00410B8C"/>
    <w:rsid w:val="0041201B"/>
    <w:rsid w:val="00412CF0"/>
    <w:rsid w:val="00413DCD"/>
    <w:rsid w:val="0041563F"/>
    <w:rsid w:val="00417D41"/>
    <w:rsid w:val="004201ED"/>
    <w:rsid w:val="004210BE"/>
    <w:rsid w:val="00422C91"/>
    <w:rsid w:val="004251A0"/>
    <w:rsid w:val="00427ED5"/>
    <w:rsid w:val="00430680"/>
    <w:rsid w:val="00430D9B"/>
    <w:rsid w:val="00434EB9"/>
    <w:rsid w:val="00435871"/>
    <w:rsid w:val="00436C56"/>
    <w:rsid w:val="004371BB"/>
    <w:rsid w:val="00441F16"/>
    <w:rsid w:val="00444230"/>
    <w:rsid w:val="00444D07"/>
    <w:rsid w:val="00446B1A"/>
    <w:rsid w:val="004514C9"/>
    <w:rsid w:val="00451C38"/>
    <w:rsid w:val="00453175"/>
    <w:rsid w:val="00454552"/>
    <w:rsid w:val="004571A9"/>
    <w:rsid w:val="004607B9"/>
    <w:rsid w:val="00460DE1"/>
    <w:rsid w:val="00461468"/>
    <w:rsid w:val="004659F7"/>
    <w:rsid w:val="00466029"/>
    <w:rsid w:val="004714DA"/>
    <w:rsid w:val="00471ADB"/>
    <w:rsid w:val="00471B84"/>
    <w:rsid w:val="00471CEF"/>
    <w:rsid w:val="0047239D"/>
    <w:rsid w:val="004726F7"/>
    <w:rsid w:val="004764AD"/>
    <w:rsid w:val="00477B5A"/>
    <w:rsid w:val="00480C2C"/>
    <w:rsid w:val="00481DA7"/>
    <w:rsid w:val="00483CEA"/>
    <w:rsid w:val="00484186"/>
    <w:rsid w:val="00487989"/>
    <w:rsid w:val="00490AE8"/>
    <w:rsid w:val="00491106"/>
    <w:rsid w:val="004972B2"/>
    <w:rsid w:val="004A1020"/>
    <w:rsid w:val="004A1C22"/>
    <w:rsid w:val="004A28BA"/>
    <w:rsid w:val="004A3F94"/>
    <w:rsid w:val="004A6BED"/>
    <w:rsid w:val="004B6890"/>
    <w:rsid w:val="004B78C7"/>
    <w:rsid w:val="004C0FEE"/>
    <w:rsid w:val="004C298B"/>
    <w:rsid w:val="004C4AAE"/>
    <w:rsid w:val="004C4DA7"/>
    <w:rsid w:val="004D1D2E"/>
    <w:rsid w:val="004D3ACB"/>
    <w:rsid w:val="004F0EDB"/>
    <w:rsid w:val="004F6368"/>
    <w:rsid w:val="00500D49"/>
    <w:rsid w:val="00510639"/>
    <w:rsid w:val="00514DCA"/>
    <w:rsid w:val="005156FF"/>
    <w:rsid w:val="005179F2"/>
    <w:rsid w:val="00517B1F"/>
    <w:rsid w:val="00520B3D"/>
    <w:rsid w:val="00520DDC"/>
    <w:rsid w:val="00521E30"/>
    <w:rsid w:val="005358EC"/>
    <w:rsid w:val="00537F9B"/>
    <w:rsid w:val="00540176"/>
    <w:rsid w:val="00540905"/>
    <w:rsid w:val="00544A4D"/>
    <w:rsid w:val="00552A2A"/>
    <w:rsid w:val="005541AD"/>
    <w:rsid w:val="00556593"/>
    <w:rsid w:val="0056750D"/>
    <w:rsid w:val="005710E9"/>
    <w:rsid w:val="00572FDB"/>
    <w:rsid w:val="00573A87"/>
    <w:rsid w:val="00573F01"/>
    <w:rsid w:val="00580CD2"/>
    <w:rsid w:val="00581B76"/>
    <w:rsid w:val="005916F1"/>
    <w:rsid w:val="00592DD2"/>
    <w:rsid w:val="00593146"/>
    <w:rsid w:val="0059325E"/>
    <w:rsid w:val="005A2394"/>
    <w:rsid w:val="005A346A"/>
    <w:rsid w:val="005A7914"/>
    <w:rsid w:val="005C0C9F"/>
    <w:rsid w:val="005C1802"/>
    <w:rsid w:val="005C305A"/>
    <w:rsid w:val="005C33BC"/>
    <w:rsid w:val="005C4CFC"/>
    <w:rsid w:val="005C5296"/>
    <w:rsid w:val="005D2924"/>
    <w:rsid w:val="005D3743"/>
    <w:rsid w:val="005D49C7"/>
    <w:rsid w:val="005E5443"/>
    <w:rsid w:val="005E7D6D"/>
    <w:rsid w:val="005F029D"/>
    <w:rsid w:val="005F031B"/>
    <w:rsid w:val="005F1217"/>
    <w:rsid w:val="005F2FF1"/>
    <w:rsid w:val="005F5F59"/>
    <w:rsid w:val="005F5F87"/>
    <w:rsid w:val="005F7CA7"/>
    <w:rsid w:val="006014D0"/>
    <w:rsid w:val="00601D71"/>
    <w:rsid w:val="00601FC2"/>
    <w:rsid w:val="00604215"/>
    <w:rsid w:val="006061E1"/>
    <w:rsid w:val="006062C7"/>
    <w:rsid w:val="00606AEF"/>
    <w:rsid w:val="00607F8E"/>
    <w:rsid w:val="006126F1"/>
    <w:rsid w:val="00614431"/>
    <w:rsid w:val="00615E6D"/>
    <w:rsid w:val="00623808"/>
    <w:rsid w:val="0062767A"/>
    <w:rsid w:val="00630BF4"/>
    <w:rsid w:val="006320C6"/>
    <w:rsid w:val="00635113"/>
    <w:rsid w:val="00644EA8"/>
    <w:rsid w:val="00650484"/>
    <w:rsid w:val="00651729"/>
    <w:rsid w:val="00657D57"/>
    <w:rsid w:val="00661C1C"/>
    <w:rsid w:val="006625E8"/>
    <w:rsid w:val="00664393"/>
    <w:rsid w:val="006652B9"/>
    <w:rsid w:val="00672E3B"/>
    <w:rsid w:val="00673012"/>
    <w:rsid w:val="00674984"/>
    <w:rsid w:val="00674E93"/>
    <w:rsid w:val="006761BA"/>
    <w:rsid w:val="00682B21"/>
    <w:rsid w:val="006840F9"/>
    <w:rsid w:val="00686385"/>
    <w:rsid w:val="006936D4"/>
    <w:rsid w:val="00693F5A"/>
    <w:rsid w:val="00694B05"/>
    <w:rsid w:val="00697221"/>
    <w:rsid w:val="006A347B"/>
    <w:rsid w:val="006A4776"/>
    <w:rsid w:val="006A5119"/>
    <w:rsid w:val="006A7DB6"/>
    <w:rsid w:val="006B3545"/>
    <w:rsid w:val="006B4CE5"/>
    <w:rsid w:val="006B5C43"/>
    <w:rsid w:val="006C04B8"/>
    <w:rsid w:val="006C2DB5"/>
    <w:rsid w:val="006C4950"/>
    <w:rsid w:val="006D5B49"/>
    <w:rsid w:val="006E179B"/>
    <w:rsid w:val="006E3312"/>
    <w:rsid w:val="006E44D2"/>
    <w:rsid w:val="006E5DB6"/>
    <w:rsid w:val="006F7C67"/>
    <w:rsid w:val="00700C10"/>
    <w:rsid w:val="00700E2E"/>
    <w:rsid w:val="00702F09"/>
    <w:rsid w:val="0070307F"/>
    <w:rsid w:val="00705F79"/>
    <w:rsid w:val="007115BE"/>
    <w:rsid w:val="00712982"/>
    <w:rsid w:val="007133D4"/>
    <w:rsid w:val="0071598C"/>
    <w:rsid w:val="00717CC6"/>
    <w:rsid w:val="00720850"/>
    <w:rsid w:val="00723E8C"/>
    <w:rsid w:val="007270CA"/>
    <w:rsid w:val="00731302"/>
    <w:rsid w:val="00735758"/>
    <w:rsid w:val="00741398"/>
    <w:rsid w:val="00746443"/>
    <w:rsid w:val="00747EB2"/>
    <w:rsid w:val="0075182D"/>
    <w:rsid w:val="007542D4"/>
    <w:rsid w:val="00755154"/>
    <w:rsid w:val="0076069F"/>
    <w:rsid w:val="00763C6F"/>
    <w:rsid w:val="00764831"/>
    <w:rsid w:val="00765DD4"/>
    <w:rsid w:val="00765ED3"/>
    <w:rsid w:val="0076659D"/>
    <w:rsid w:val="00771E63"/>
    <w:rsid w:val="00773E6A"/>
    <w:rsid w:val="00774F3A"/>
    <w:rsid w:val="00775446"/>
    <w:rsid w:val="0079452C"/>
    <w:rsid w:val="007956B1"/>
    <w:rsid w:val="00795CFE"/>
    <w:rsid w:val="007A0DFD"/>
    <w:rsid w:val="007A1353"/>
    <w:rsid w:val="007A2289"/>
    <w:rsid w:val="007A4031"/>
    <w:rsid w:val="007A4DBD"/>
    <w:rsid w:val="007A57FF"/>
    <w:rsid w:val="007B1FAC"/>
    <w:rsid w:val="007B33B5"/>
    <w:rsid w:val="007B4BA9"/>
    <w:rsid w:val="007B5107"/>
    <w:rsid w:val="007C1D13"/>
    <w:rsid w:val="007C44D3"/>
    <w:rsid w:val="007C7A26"/>
    <w:rsid w:val="007D002B"/>
    <w:rsid w:val="007D4ABA"/>
    <w:rsid w:val="007D609C"/>
    <w:rsid w:val="007D7715"/>
    <w:rsid w:val="007E068E"/>
    <w:rsid w:val="007F01E7"/>
    <w:rsid w:val="007F078A"/>
    <w:rsid w:val="007F0B54"/>
    <w:rsid w:val="007F5B1A"/>
    <w:rsid w:val="007F6915"/>
    <w:rsid w:val="007F7BDB"/>
    <w:rsid w:val="00802DFD"/>
    <w:rsid w:val="0080489E"/>
    <w:rsid w:val="00804D8C"/>
    <w:rsid w:val="00807F7F"/>
    <w:rsid w:val="00810D20"/>
    <w:rsid w:val="00814E9E"/>
    <w:rsid w:val="00824F5F"/>
    <w:rsid w:val="0082577A"/>
    <w:rsid w:val="00825ECF"/>
    <w:rsid w:val="00830B67"/>
    <w:rsid w:val="00831F4D"/>
    <w:rsid w:val="008345E3"/>
    <w:rsid w:val="008360FD"/>
    <w:rsid w:val="00836A2B"/>
    <w:rsid w:val="00844BE4"/>
    <w:rsid w:val="00845C84"/>
    <w:rsid w:val="00851077"/>
    <w:rsid w:val="00852BAD"/>
    <w:rsid w:val="00853A10"/>
    <w:rsid w:val="008612FB"/>
    <w:rsid w:val="00864CF9"/>
    <w:rsid w:val="00866411"/>
    <w:rsid w:val="00875624"/>
    <w:rsid w:val="00876065"/>
    <w:rsid w:val="00880911"/>
    <w:rsid w:val="008877CB"/>
    <w:rsid w:val="008916EF"/>
    <w:rsid w:val="00891723"/>
    <w:rsid w:val="00891765"/>
    <w:rsid w:val="008924FB"/>
    <w:rsid w:val="00896353"/>
    <w:rsid w:val="00896359"/>
    <w:rsid w:val="00896644"/>
    <w:rsid w:val="008A165E"/>
    <w:rsid w:val="008A6893"/>
    <w:rsid w:val="008A6907"/>
    <w:rsid w:val="008B0B86"/>
    <w:rsid w:val="008B14F7"/>
    <w:rsid w:val="008B7150"/>
    <w:rsid w:val="008C65C2"/>
    <w:rsid w:val="008D57C5"/>
    <w:rsid w:val="008D7F54"/>
    <w:rsid w:val="008E1C60"/>
    <w:rsid w:val="008E2772"/>
    <w:rsid w:val="008E44DE"/>
    <w:rsid w:val="008F06CD"/>
    <w:rsid w:val="008F1C11"/>
    <w:rsid w:val="008F2631"/>
    <w:rsid w:val="008F34C4"/>
    <w:rsid w:val="008F3868"/>
    <w:rsid w:val="009015D4"/>
    <w:rsid w:val="00902537"/>
    <w:rsid w:val="009202C0"/>
    <w:rsid w:val="00923BDC"/>
    <w:rsid w:val="00926F66"/>
    <w:rsid w:val="0093179F"/>
    <w:rsid w:val="009318AA"/>
    <w:rsid w:val="009324D4"/>
    <w:rsid w:val="00932F87"/>
    <w:rsid w:val="00935B4A"/>
    <w:rsid w:val="00944447"/>
    <w:rsid w:val="009465BA"/>
    <w:rsid w:val="00955633"/>
    <w:rsid w:val="00962375"/>
    <w:rsid w:val="00962750"/>
    <w:rsid w:val="00963111"/>
    <w:rsid w:val="00963A19"/>
    <w:rsid w:val="00965719"/>
    <w:rsid w:val="00967B9E"/>
    <w:rsid w:val="00972EF7"/>
    <w:rsid w:val="00973AD1"/>
    <w:rsid w:val="009809BC"/>
    <w:rsid w:val="00984B52"/>
    <w:rsid w:val="00985243"/>
    <w:rsid w:val="00985404"/>
    <w:rsid w:val="0098690E"/>
    <w:rsid w:val="00994DCF"/>
    <w:rsid w:val="00995C5C"/>
    <w:rsid w:val="00996D6B"/>
    <w:rsid w:val="00997E05"/>
    <w:rsid w:val="009A06EC"/>
    <w:rsid w:val="009A0AF6"/>
    <w:rsid w:val="009A2075"/>
    <w:rsid w:val="009A330F"/>
    <w:rsid w:val="009A3BE0"/>
    <w:rsid w:val="009A749F"/>
    <w:rsid w:val="009B2957"/>
    <w:rsid w:val="009B369B"/>
    <w:rsid w:val="009B5515"/>
    <w:rsid w:val="009B757E"/>
    <w:rsid w:val="009C2EFD"/>
    <w:rsid w:val="009C4DD4"/>
    <w:rsid w:val="009C6544"/>
    <w:rsid w:val="009D3290"/>
    <w:rsid w:val="009D539C"/>
    <w:rsid w:val="009E1ED0"/>
    <w:rsid w:val="009E2717"/>
    <w:rsid w:val="009E2DD8"/>
    <w:rsid w:val="009E2F4D"/>
    <w:rsid w:val="009E3B17"/>
    <w:rsid w:val="009E4DD6"/>
    <w:rsid w:val="009E7B55"/>
    <w:rsid w:val="009E7D09"/>
    <w:rsid w:val="009F0BBC"/>
    <w:rsid w:val="009F2694"/>
    <w:rsid w:val="009F6123"/>
    <w:rsid w:val="00A00231"/>
    <w:rsid w:val="00A053D3"/>
    <w:rsid w:val="00A05722"/>
    <w:rsid w:val="00A05895"/>
    <w:rsid w:val="00A10744"/>
    <w:rsid w:val="00A1187A"/>
    <w:rsid w:val="00A11FC6"/>
    <w:rsid w:val="00A143D3"/>
    <w:rsid w:val="00A1653D"/>
    <w:rsid w:val="00A250ED"/>
    <w:rsid w:val="00A277B4"/>
    <w:rsid w:val="00A306D4"/>
    <w:rsid w:val="00A42DF8"/>
    <w:rsid w:val="00A4384A"/>
    <w:rsid w:val="00A448D5"/>
    <w:rsid w:val="00A46589"/>
    <w:rsid w:val="00A475FB"/>
    <w:rsid w:val="00A52098"/>
    <w:rsid w:val="00A52BEA"/>
    <w:rsid w:val="00A53277"/>
    <w:rsid w:val="00A56AB7"/>
    <w:rsid w:val="00A64308"/>
    <w:rsid w:val="00A64B63"/>
    <w:rsid w:val="00A65370"/>
    <w:rsid w:val="00A679CB"/>
    <w:rsid w:val="00A73251"/>
    <w:rsid w:val="00A769C6"/>
    <w:rsid w:val="00A802E4"/>
    <w:rsid w:val="00A80AB7"/>
    <w:rsid w:val="00A8241D"/>
    <w:rsid w:val="00A863D4"/>
    <w:rsid w:val="00A875A2"/>
    <w:rsid w:val="00A91270"/>
    <w:rsid w:val="00A96A0F"/>
    <w:rsid w:val="00A96D81"/>
    <w:rsid w:val="00A96DE6"/>
    <w:rsid w:val="00AA4300"/>
    <w:rsid w:val="00AA52BA"/>
    <w:rsid w:val="00AB01F6"/>
    <w:rsid w:val="00AB21DB"/>
    <w:rsid w:val="00AB5141"/>
    <w:rsid w:val="00AB7A64"/>
    <w:rsid w:val="00AC337B"/>
    <w:rsid w:val="00AC61F5"/>
    <w:rsid w:val="00AC64E8"/>
    <w:rsid w:val="00AC6A78"/>
    <w:rsid w:val="00AC7441"/>
    <w:rsid w:val="00AC79B2"/>
    <w:rsid w:val="00AD4AD0"/>
    <w:rsid w:val="00AD4F61"/>
    <w:rsid w:val="00AD7384"/>
    <w:rsid w:val="00AE205D"/>
    <w:rsid w:val="00AE3F12"/>
    <w:rsid w:val="00AE4305"/>
    <w:rsid w:val="00AF4DDC"/>
    <w:rsid w:val="00AF62C7"/>
    <w:rsid w:val="00AF7AE2"/>
    <w:rsid w:val="00B03799"/>
    <w:rsid w:val="00B043C0"/>
    <w:rsid w:val="00B14889"/>
    <w:rsid w:val="00B248FA"/>
    <w:rsid w:val="00B27C08"/>
    <w:rsid w:val="00B27D25"/>
    <w:rsid w:val="00B32CA0"/>
    <w:rsid w:val="00B349F8"/>
    <w:rsid w:val="00B4182E"/>
    <w:rsid w:val="00B5560C"/>
    <w:rsid w:val="00B56655"/>
    <w:rsid w:val="00B5667A"/>
    <w:rsid w:val="00B602F6"/>
    <w:rsid w:val="00B70E76"/>
    <w:rsid w:val="00B71509"/>
    <w:rsid w:val="00B715F1"/>
    <w:rsid w:val="00B7315D"/>
    <w:rsid w:val="00B8107F"/>
    <w:rsid w:val="00B82503"/>
    <w:rsid w:val="00B83E5A"/>
    <w:rsid w:val="00B85E3B"/>
    <w:rsid w:val="00B86E92"/>
    <w:rsid w:val="00B8797D"/>
    <w:rsid w:val="00B9232A"/>
    <w:rsid w:val="00B93483"/>
    <w:rsid w:val="00B95163"/>
    <w:rsid w:val="00B96C9E"/>
    <w:rsid w:val="00B96FE3"/>
    <w:rsid w:val="00BA4DC2"/>
    <w:rsid w:val="00BA5D22"/>
    <w:rsid w:val="00BB0196"/>
    <w:rsid w:val="00BB09E4"/>
    <w:rsid w:val="00BB5648"/>
    <w:rsid w:val="00BD03C8"/>
    <w:rsid w:val="00BD0562"/>
    <w:rsid w:val="00BD09C6"/>
    <w:rsid w:val="00BD102D"/>
    <w:rsid w:val="00BD21D1"/>
    <w:rsid w:val="00BD5441"/>
    <w:rsid w:val="00BD7EDC"/>
    <w:rsid w:val="00BE1053"/>
    <w:rsid w:val="00BE68C2"/>
    <w:rsid w:val="00BF0B10"/>
    <w:rsid w:val="00BF2D4B"/>
    <w:rsid w:val="00BF51AA"/>
    <w:rsid w:val="00C029E8"/>
    <w:rsid w:val="00C04C35"/>
    <w:rsid w:val="00C06672"/>
    <w:rsid w:val="00C124F3"/>
    <w:rsid w:val="00C131A9"/>
    <w:rsid w:val="00C13E75"/>
    <w:rsid w:val="00C20913"/>
    <w:rsid w:val="00C3168A"/>
    <w:rsid w:val="00C3305F"/>
    <w:rsid w:val="00C33CC5"/>
    <w:rsid w:val="00C33FB9"/>
    <w:rsid w:val="00C34D4A"/>
    <w:rsid w:val="00C3520E"/>
    <w:rsid w:val="00C37B93"/>
    <w:rsid w:val="00C4076A"/>
    <w:rsid w:val="00C41098"/>
    <w:rsid w:val="00C43DA0"/>
    <w:rsid w:val="00C443AD"/>
    <w:rsid w:val="00C50FCF"/>
    <w:rsid w:val="00C512D7"/>
    <w:rsid w:val="00C56567"/>
    <w:rsid w:val="00C571FB"/>
    <w:rsid w:val="00C637F6"/>
    <w:rsid w:val="00C638A8"/>
    <w:rsid w:val="00C64916"/>
    <w:rsid w:val="00C7060E"/>
    <w:rsid w:val="00C70FC9"/>
    <w:rsid w:val="00C71391"/>
    <w:rsid w:val="00C75EF4"/>
    <w:rsid w:val="00C823D3"/>
    <w:rsid w:val="00C8256C"/>
    <w:rsid w:val="00C83E65"/>
    <w:rsid w:val="00C90A36"/>
    <w:rsid w:val="00C9267C"/>
    <w:rsid w:val="00C93302"/>
    <w:rsid w:val="00C935D2"/>
    <w:rsid w:val="00C95814"/>
    <w:rsid w:val="00C95901"/>
    <w:rsid w:val="00C965F5"/>
    <w:rsid w:val="00C97CD2"/>
    <w:rsid w:val="00CA54F0"/>
    <w:rsid w:val="00CA5FD6"/>
    <w:rsid w:val="00CB7816"/>
    <w:rsid w:val="00CC6169"/>
    <w:rsid w:val="00CC77D3"/>
    <w:rsid w:val="00CD02EE"/>
    <w:rsid w:val="00CD12E0"/>
    <w:rsid w:val="00CD17EC"/>
    <w:rsid w:val="00CD297E"/>
    <w:rsid w:val="00CD2DCA"/>
    <w:rsid w:val="00CD38C2"/>
    <w:rsid w:val="00CE0ED8"/>
    <w:rsid w:val="00CE1CE6"/>
    <w:rsid w:val="00CF0DE7"/>
    <w:rsid w:val="00CF29AD"/>
    <w:rsid w:val="00CF7581"/>
    <w:rsid w:val="00CF7E26"/>
    <w:rsid w:val="00D02D0E"/>
    <w:rsid w:val="00D1080C"/>
    <w:rsid w:val="00D12AFB"/>
    <w:rsid w:val="00D2018E"/>
    <w:rsid w:val="00D21F87"/>
    <w:rsid w:val="00D2316C"/>
    <w:rsid w:val="00D231E1"/>
    <w:rsid w:val="00D2519A"/>
    <w:rsid w:val="00D2666C"/>
    <w:rsid w:val="00D26D94"/>
    <w:rsid w:val="00D34099"/>
    <w:rsid w:val="00D37C55"/>
    <w:rsid w:val="00D41B16"/>
    <w:rsid w:val="00D4768D"/>
    <w:rsid w:val="00D51C7E"/>
    <w:rsid w:val="00D53654"/>
    <w:rsid w:val="00D54437"/>
    <w:rsid w:val="00D54F0E"/>
    <w:rsid w:val="00D62F3E"/>
    <w:rsid w:val="00D646FB"/>
    <w:rsid w:val="00D6513E"/>
    <w:rsid w:val="00D657E3"/>
    <w:rsid w:val="00D65FE7"/>
    <w:rsid w:val="00D678E3"/>
    <w:rsid w:val="00D7151B"/>
    <w:rsid w:val="00D71E83"/>
    <w:rsid w:val="00D74A9E"/>
    <w:rsid w:val="00D7652C"/>
    <w:rsid w:val="00D802EB"/>
    <w:rsid w:val="00D81B1D"/>
    <w:rsid w:val="00D830D1"/>
    <w:rsid w:val="00D8386D"/>
    <w:rsid w:val="00D84810"/>
    <w:rsid w:val="00D86126"/>
    <w:rsid w:val="00D8696E"/>
    <w:rsid w:val="00D87768"/>
    <w:rsid w:val="00D91763"/>
    <w:rsid w:val="00D9631F"/>
    <w:rsid w:val="00DA463B"/>
    <w:rsid w:val="00DA6C0C"/>
    <w:rsid w:val="00DB0CAA"/>
    <w:rsid w:val="00DB156B"/>
    <w:rsid w:val="00DB188F"/>
    <w:rsid w:val="00DB1AA8"/>
    <w:rsid w:val="00DB52FF"/>
    <w:rsid w:val="00DB5E10"/>
    <w:rsid w:val="00DB7576"/>
    <w:rsid w:val="00DC01D2"/>
    <w:rsid w:val="00DC36A7"/>
    <w:rsid w:val="00DD29ED"/>
    <w:rsid w:val="00DD3DAE"/>
    <w:rsid w:val="00DD55D1"/>
    <w:rsid w:val="00DE0560"/>
    <w:rsid w:val="00DE1BFF"/>
    <w:rsid w:val="00DE2792"/>
    <w:rsid w:val="00DE29C6"/>
    <w:rsid w:val="00DE5DA1"/>
    <w:rsid w:val="00DE6853"/>
    <w:rsid w:val="00DF115F"/>
    <w:rsid w:val="00DF57B3"/>
    <w:rsid w:val="00E05656"/>
    <w:rsid w:val="00E07D58"/>
    <w:rsid w:val="00E141C0"/>
    <w:rsid w:val="00E14BB8"/>
    <w:rsid w:val="00E1624F"/>
    <w:rsid w:val="00E17FA1"/>
    <w:rsid w:val="00E2128F"/>
    <w:rsid w:val="00E22D4B"/>
    <w:rsid w:val="00E24CC1"/>
    <w:rsid w:val="00E25345"/>
    <w:rsid w:val="00E25B2F"/>
    <w:rsid w:val="00E263D9"/>
    <w:rsid w:val="00E27D8A"/>
    <w:rsid w:val="00E30E86"/>
    <w:rsid w:val="00E31A73"/>
    <w:rsid w:val="00E3284A"/>
    <w:rsid w:val="00E36C5E"/>
    <w:rsid w:val="00E41315"/>
    <w:rsid w:val="00E41BE3"/>
    <w:rsid w:val="00E420AB"/>
    <w:rsid w:val="00E47E63"/>
    <w:rsid w:val="00E64ED7"/>
    <w:rsid w:val="00E653B7"/>
    <w:rsid w:val="00E67660"/>
    <w:rsid w:val="00E7158A"/>
    <w:rsid w:val="00E8520B"/>
    <w:rsid w:val="00E85CCB"/>
    <w:rsid w:val="00E9069D"/>
    <w:rsid w:val="00E96504"/>
    <w:rsid w:val="00E975EF"/>
    <w:rsid w:val="00EA036F"/>
    <w:rsid w:val="00EA0AF0"/>
    <w:rsid w:val="00EA0F81"/>
    <w:rsid w:val="00EA6256"/>
    <w:rsid w:val="00EA6380"/>
    <w:rsid w:val="00EA6E9E"/>
    <w:rsid w:val="00EA7941"/>
    <w:rsid w:val="00EC10C5"/>
    <w:rsid w:val="00ED4793"/>
    <w:rsid w:val="00ED5A14"/>
    <w:rsid w:val="00ED7D35"/>
    <w:rsid w:val="00EE183B"/>
    <w:rsid w:val="00EE1EB7"/>
    <w:rsid w:val="00EE6093"/>
    <w:rsid w:val="00EE6320"/>
    <w:rsid w:val="00EF1463"/>
    <w:rsid w:val="00EF59F7"/>
    <w:rsid w:val="00EF69BD"/>
    <w:rsid w:val="00F0251D"/>
    <w:rsid w:val="00F03770"/>
    <w:rsid w:val="00F07E71"/>
    <w:rsid w:val="00F12AD0"/>
    <w:rsid w:val="00F14CDE"/>
    <w:rsid w:val="00F1556E"/>
    <w:rsid w:val="00F20E1A"/>
    <w:rsid w:val="00F218EA"/>
    <w:rsid w:val="00F25684"/>
    <w:rsid w:val="00F30C6C"/>
    <w:rsid w:val="00F30FC5"/>
    <w:rsid w:val="00F36797"/>
    <w:rsid w:val="00F37023"/>
    <w:rsid w:val="00F431F3"/>
    <w:rsid w:val="00F43223"/>
    <w:rsid w:val="00F438EE"/>
    <w:rsid w:val="00F43C2D"/>
    <w:rsid w:val="00F441DF"/>
    <w:rsid w:val="00F46284"/>
    <w:rsid w:val="00F52FDA"/>
    <w:rsid w:val="00F53B9F"/>
    <w:rsid w:val="00F53F59"/>
    <w:rsid w:val="00F555E7"/>
    <w:rsid w:val="00F62B72"/>
    <w:rsid w:val="00F64BDB"/>
    <w:rsid w:val="00F76CFE"/>
    <w:rsid w:val="00F77C61"/>
    <w:rsid w:val="00F80076"/>
    <w:rsid w:val="00F836FF"/>
    <w:rsid w:val="00F8611B"/>
    <w:rsid w:val="00F86833"/>
    <w:rsid w:val="00F94E35"/>
    <w:rsid w:val="00FA28AB"/>
    <w:rsid w:val="00FA465D"/>
    <w:rsid w:val="00FA6E3C"/>
    <w:rsid w:val="00FA7E5F"/>
    <w:rsid w:val="00FB37A6"/>
    <w:rsid w:val="00FB5B0E"/>
    <w:rsid w:val="00FB7735"/>
    <w:rsid w:val="00FC285D"/>
    <w:rsid w:val="00FC504F"/>
    <w:rsid w:val="00FC7C80"/>
    <w:rsid w:val="00FD01DB"/>
    <w:rsid w:val="00FD1554"/>
    <w:rsid w:val="00FD2AEA"/>
    <w:rsid w:val="00FD71C8"/>
    <w:rsid w:val="00FE0E06"/>
    <w:rsid w:val="00FE25A3"/>
    <w:rsid w:val="00FE3E93"/>
    <w:rsid w:val="00FE4694"/>
    <w:rsid w:val="00FE62A8"/>
    <w:rsid w:val="00FE7A36"/>
    <w:rsid w:val="00FF1E84"/>
    <w:rsid w:val="00FF2548"/>
    <w:rsid w:val="00FF2DE0"/>
    <w:rsid w:val="00FF3BE5"/>
    <w:rsid w:val="00FF4820"/>
    <w:rsid w:val="00FF4C95"/>
    <w:rsid w:val="00FF7350"/>
    <w:rsid w:val="014B16E2"/>
    <w:rsid w:val="015F51C9"/>
    <w:rsid w:val="01C710ED"/>
    <w:rsid w:val="01F82835"/>
    <w:rsid w:val="01FA091E"/>
    <w:rsid w:val="023370AE"/>
    <w:rsid w:val="027A321B"/>
    <w:rsid w:val="02884BAE"/>
    <w:rsid w:val="02F63C9D"/>
    <w:rsid w:val="03015719"/>
    <w:rsid w:val="03361A03"/>
    <w:rsid w:val="033D2829"/>
    <w:rsid w:val="034621EC"/>
    <w:rsid w:val="034F0B7A"/>
    <w:rsid w:val="03624168"/>
    <w:rsid w:val="03801D78"/>
    <w:rsid w:val="038B4F44"/>
    <w:rsid w:val="03983D79"/>
    <w:rsid w:val="03BD6575"/>
    <w:rsid w:val="0405748B"/>
    <w:rsid w:val="040B4BDB"/>
    <w:rsid w:val="04675F49"/>
    <w:rsid w:val="048031B8"/>
    <w:rsid w:val="04A74D9F"/>
    <w:rsid w:val="04D470FD"/>
    <w:rsid w:val="04DA1082"/>
    <w:rsid w:val="04EF17AF"/>
    <w:rsid w:val="04EF2134"/>
    <w:rsid w:val="050A24A7"/>
    <w:rsid w:val="051124F4"/>
    <w:rsid w:val="057A571F"/>
    <w:rsid w:val="0596006B"/>
    <w:rsid w:val="05B6372D"/>
    <w:rsid w:val="05D5400D"/>
    <w:rsid w:val="0607573C"/>
    <w:rsid w:val="060D19C1"/>
    <w:rsid w:val="062747FA"/>
    <w:rsid w:val="06625D0F"/>
    <w:rsid w:val="06907F35"/>
    <w:rsid w:val="070763D0"/>
    <w:rsid w:val="074011ED"/>
    <w:rsid w:val="07425F49"/>
    <w:rsid w:val="07693D76"/>
    <w:rsid w:val="07764F2E"/>
    <w:rsid w:val="077A7263"/>
    <w:rsid w:val="07835E66"/>
    <w:rsid w:val="07F345D4"/>
    <w:rsid w:val="0825260A"/>
    <w:rsid w:val="087053E7"/>
    <w:rsid w:val="08E96DAE"/>
    <w:rsid w:val="08EB2041"/>
    <w:rsid w:val="08EF2579"/>
    <w:rsid w:val="0906470F"/>
    <w:rsid w:val="093D1475"/>
    <w:rsid w:val="0956020A"/>
    <w:rsid w:val="09567175"/>
    <w:rsid w:val="09653560"/>
    <w:rsid w:val="098B118B"/>
    <w:rsid w:val="09A777B0"/>
    <w:rsid w:val="09BB5D90"/>
    <w:rsid w:val="09D03BB6"/>
    <w:rsid w:val="09DB4D10"/>
    <w:rsid w:val="0A04213F"/>
    <w:rsid w:val="0A696978"/>
    <w:rsid w:val="0A8F57B5"/>
    <w:rsid w:val="0AE3035D"/>
    <w:rsid w:val="0AE60C55"/>
    <w:rsid w:val="0B330247"/>
    <w:rsid w:val="0B3B3613"/>
    <w:rsid w:val="0B3F3B49"/>
    <w:rsid w:val="0B57681E"/>
    <w:rsid w:val="0B6D60B1"/>
    <w:rsid w:val="0BA023B3"/>
    <w:rsid w:val="0BC87E2D"/>
    <w:rsid w:val="0C1251BE"/>
    <w:rsid w:val="0C202FFF"/>
    <w:rsid w:val="0C5878C8"/>
    <w:rsid w:val="0C7E2939"/>
    <w:rsid w:val="0CBD063B"/>
    <w:rsid w:val="0CC41AD7"/>
    <w:rsid w:val="0CD80FB6"/>
    <w:rsid w:val="0D4E3869"/>
    <w:rsid w:val="0D6A6996"/>
    <w:rsid w:val="0D9B656A"/>
    <w:rsid w:val="0DCF2488"/>
    <w:rsid w:val="0DE61372"/>
    <w:rsid w:val="0DFF54C7"/>
    <w:rsid w:val="0E1C519B"/>
    <w:rsid w:val="0E3439C6"/>
    <w:rsid w:val="0E612A27"/>
    <w:rsid w:val="0E6A68B5"/>
    <w:rsid w:val="0E975E5C"/>
    <w:rsid w:val="0EAC6B76"/>
    <w:rsid w:val="0EB86848"/>
    <w:rsid w:val="0EC95506"/>
    <w:rsid w:val="0EF13627"/>
    <w:rsid w:val="0EF34AB0"/>
    <w:rsid w:val="0F1C5D4B"/>
    <w:rsid w:val="0F503CB0"/>
    <w:rsid w:val="0F7D25CB"/>
    <w:rsid w:val="0F9A2E10"/>
    <w:rsid w:val="0FE45F8C"/>
    <w:rsid w:val="10320A81"/>
    <w:rsid w:val="10364649"/>
    <w:rsid w:val="10505F32"/>
    <w:rsid w:val="106E4ED0"/>
    <w:rsid w:val="10AA0ABE"/>
    <w:rsid w:val="10CE463A"/>
    <w:rsid w:val="10CF312D"/>
    <w:rsid w:val="10DB11EC"/>
    <w:rsid w:val="10DE243C"/>
    <w:rsid w:val="10E213DB"/>
    <w:rsid w:val="10E24DDC"/>
    <w:rsid w:val="110A4333"/>
    <w:rsid w:val="111F57B0"/>
    <w:rsid w:val="118B13A1"/>
    <w:rsid w:val="11C91194"/>
    <w:rsid w:val="11DA7614"/>
    <w:rsid w:val="11E42DD6"/>
    <w:rsid w:val="11FE100A"/>
    <w:rsid w:val="12004109"/>
    <w:rsid w:val="12077D9D"/>
    <w:rsid w:val="120B02CB"/>
    <w:rsid w:val="12190EAE"/>
    <w:rsid w:val="12201EFD"/>
    <w:rsid w:val="12382409"/>
    <w:rsid w:val="126C4456"/>
    <w:rsid w:val="12937632"/>
    <w:rsid w:val="129F0512"/>
    <w:rsid w:val="12A97E93"/>
    <w:rsid w:val="12CB0F56"/>
    <w:rsid w:val="12D53FBB"/>
    <w:rsid w:val="12DB5F76"/>
    <w:rsid w:val="12EF2ADB"/>
    <w:rsid w:val="13303690"/>
    <w:rsid w:val="13546462"/>
    <w:rsid w:val="13971EA5"/>
    <w:rsid w:val="13996D25"/>
    <w:rsid w:val="139B7298"/>
    <w:rsid w:val="13C77E47"/>
    <w:rsid w:val="13E25485"/>
    <w:rsid w:val="146C663E"/>
    <w:rsid w:val="14B33E66"/>
    <w:rsid w:val="14CD7B51"/>
    <w:rsid w:val="14FA3792"/>
    <w:rsid w:val="150A3250"/>
    <w:rsid w:val="15212712"/>
    <w:rsid w:val="15261CD5"/>
    <w:rsid w:val="153C0833"/>
    <w:rsid w:val="15710FAD"/>
    <w:rsid w:val="158604EF"/>
    <w:rsid w:val="158C35B1"/>
    <w:rsid w:val="15C356A1"/>
    <w:rsid w:val="15F936FA"/>
    <w:rsid w:val="1605053E"/>
    <w:rsid w:val="1605220A"/>
    <w:rsid w:val="16275260"/>
    <w:rsid w:val="16A44B8D"/>
    <w:rsid w:val="170E0322"/>
    <w:rsid w:val="17684604"/>
    <w:rsid w:val="17917158"/>
    <w:rsid w:val="17B304B8"/>
    <w:rsid w:val="17C92852"/>
    <w:rsid w:val="17D05223"/>
    <w:rsid w:val="17DF02C7"/>
    <w:rsid w:val="17E42B0E"/>
    <w:rsid w:val="17E770A5"/>
    <w:rsid w:val="18063038"/>
    <w:rsid w:val="184451FD"/>
    <w:rsid w:val="18D40FFB"/>
    <w:rsid w:val="19260C43"/>
    <w:rsid w:val="195F507B"/>
    <w:rsid w:val="19DB1810"/>
    <w:rsid w:val="19E47AB4"/>
    <w:rsid w:val="19F6176C"/>
    <w:rsid w:val="1A5D13CD"/>
    <w:rsid w:val="1A630344"/>
    <w:rsid w:val="1A732877"/>
    <w:rsid w:val="1A7558AF"/>
    <w:rsid w:val="1A7A1A5B"/>
    <w:rsid w:val="1AAD540E"/>
    <w:rsid w:val="1B1014EA"/>
    <w:rsid w:val="1B8B0155"/>
    <w:rsid w:val="1BCC6440"/>
    <w:rsid w:val="1C1A225B"/>
    <w:rsid w:val="1C6F78C5"/>
    <w:rsid w:val="1C7F7040"/>
    <w:rsid w:val="1CA524A4"/>
    <w:rsid w:val="1CB35EDD"/>
    <w:rsid w:val="1D4E1256"/>
    <w:rsid w:val="1D666D95"/>
    <w:rsid w:val="1D90796E"/>
    <w:rsid w:val="1D9B4CB1"/>
    <w:rsid w:val="1DFD7EF6"/>
    <w:rsid w:val="1E0E2270"/>
    <w:rsid w:val="1E6E5EB7"/>
    <w:rsid w:val="1E7F2185"/>
    <w:rsid w:val="1E866F4B"/>
    <w:rsid w:val="1E9B3372"/>
    <w:rsid w:val="1EA94193"/>
    <w:rsid w:val="1F3B9487"/>
    <w:rsid w:val="1F47643E"/>
    <w:rsid w:val="1F4C1080"/>
    <w:rsid w:val="1F5E1B9F"/>
    <w:rsid w:val="1FDC0272"/>
    <w:rsid w:val="20085C1E"/>
    <w:rsid w:val="203020C7"/>
    <w:rsid w:val="20650FE2"/>
    <w:rsid w:val="20955058"/>
    <w:rsid w:val="20BB7250"/>
    <w:rsid w:val="20D174C7"/>
    <w:rsid w:val="210B3EDB"/>
    <w:rsid w:val="21AB0568"/>
    <w:rsid w:val="21AE10F7"/>
    <w:rsid w:val="21B13577"/>
    <w:rsid w:val="21BA1814"/>
    <w:rsid w:val="21D37685"/>
    <w:rsid w:val="21DC7625"/>
    <w:rsid w:val="22401503"/>
    <w:rsid w:val="2260480F"/>
    <w:rsid w:val="226B408F"/>
    <w:rsid w:val="226E2973"/>
    <w:rsid w:val="2277734E"/>
    <w:rsid w:val="228925D7"/>
    <w:rsid w:val="2290168C"/>
    <w:rsid w:val="229461B4"/>
    <w:rsid w:val="22FD1D7F"/>
    <w:rsid w:val="23160F0A"/>
    <w:rsid w:val="23343541"/>
    <w:rsid w:val="234F2B4E"/>
    <w:rsid w:val="2351552C"/>
    <w:rsid w:val="23671171"/>
    <w:rsid w:val="23764029"/>
    <w:rsid w:val="237C14F3"/>
    <w:rsid w:val="237E60EE"/>
    <w:rsid w:val="23B831B5"/>
    <w:rsid w:val="23C97F66"/>
    <w:rsid w:val="23DD7AAD"/>
    <w:rsid w:val="23E30D64"/>
    <w:rsid w:val="23E571B8"/>
    <w:rsid w:val="241F609F"/>
    <w:rsid w:val="24305A06"/>
    <w:rsid w:val="243C34B7"/>
    <w:rsid w:val="245602B3"/>
    <w:rsid w:val="24576491"/>
    <w:rsid w:val="248D45F8"/>
    <w:rsid w:val="24E472FB"/>
    <w:rsid w:val="24F932FA"/>
    <w:rsid w:val="251F4E9A"/>
    <w:rsid w:val="25252B94"/>
    <w:rsid w:val="25350FEA"/>
    <w:rsid w:val="25551249"/>
    <w:rsid w:val="255E2557"/>
    <w:rsid w:val="256571F6"/>
    <w:rsid w:val="2580614A"/>
    <w:rsid w:val="25BC3E3C"/>
    <w:rsid w:val="25C120E5"/>
    <w:rsid w:val="25DA35C6"/>
    <w:rsid w:val="25F3733F"/>
    <w:rsid w:val="260F1B7F"/>
    <w:rsid w:val="261F1F24"/>
    <w:rsid w:val="26285DA9"/>
    <w:rsid w:val="265B0083"/>
    <w:rsid w:val="266573A3"/>
    <w:rsid w:val="2680193C"/>
    <w:rsid w:val="26847C9C"/>
    <w:rsid w:val="26912884"/>
    <w:rsid w:val="26B74A03"/>
    <w:rsid w:val="26C37006"/>
    <w:rsid w:val="26C41AC7"/>
    <w:rsid w:val="273B00D3"/>
    <w:rsid w:val="276E46FA"/>
    <w:rsid w:val="279019FD"/>
    <w:rsid w:val="27E40C0B"/>
    <w:rsid w:val="27F84A8D"/>
    <w:rsid w:val="280261E6"/>
    <w:rsid w:val="280D2A75"/>
    <w:rsid w:val="281206CF"/>
    <w:rsid w:val="281E0DFE"/>
    <w:rsid w:val="281F698D"/>
    <w:rsid w:val="28A87D9E"/>
    <w:rsid w:val="28AC0259"/>
    <w:rsid w:val="28B96B98"/>
    <w:rsid w:val="28D6351B"/>
    <w:rsid w:val="29012919"/>
    <w:rsid w:val="2919547A"/>
    <w:rsid w:val="294A681B"/>
    <w:rsid w:val="297632FB"/>
    <w:rsid w:val="29860166"/>
    <w:rsid w:val="2989581D"/>
    <w:rsid w:val="29AE7242"/>
    <w:rsid w:val="29B1237D"/>
    <w:rsid w:val="29B623A9"/>
    <w:rsid w:val="29C177E7"/>
    <w:rsid w:val="29D55195"/>
    <w:rsid w:val="2A1C51C4"/>
    <w:rsid w:val="2A374E5F"/>
    <w:rsid w:val="2A3A2334"/>
    <w:rsid w:val="2A3E519C"/>
    <w:rsid w:val="2ADE4C88"/>
    <w:rsid w:val="2B0F281A"/>
    <w:rsid w:val="2B58669A"/>
    <w:rsid w:val="2BB36F8C"/>
    <w:rsid w:val="2BC60DD6"/>
    <w:rsid w:val="2BCF0DAE"/>
    <w:rsid w:val="2C5D58DE"/>
    <w:rsid w:val="2CBB53A9"/>
    <w:rsid w:val="2CCA35AC"/>
    <w:rsid w:val="2CCD0653"/>
    <w:rsid w:val="2CEB2024"/>
    <w:rsid w:val="2CFD01DC"/>
    <w:rsid w:val="2CFE1822"/>
    <w:rsid w:val="2D2A71C5"/>
    <w:rsid w:val="2D40645A"/>
    <w:rsid w:val="2D903660"/>
    <w:rsid w:val="2D9D2698"/>
    <w:rsid w:val="2D9F08E8"/>
    <w:rsid w:val="2DB137C0"/>
    <w:rsid w:val="2DC43DAA"/>
    <w:rsid w:val="2E083F52"/>
    <w:rsid w:val="2E4539F1"/>
    <w:rsid w:val="2E6172FD"/>
    <w:rsid w:val="2ECD39AB"/>
    <w:rsid w:val="2F2A2A00"/>
    <w:rsid w:val="2F324864"/>
    <w:rsid w:val="2FA363AF"/>
    <w:rsid w:val="2FD04A90"/>
    <w:rsid w:val="2FF464CB"/>
    <w:rsid w:val="2FFA0706"/>
    <w:rsid w:val="3006429E"/>
    <w:rsid w:val="30190941"/>
    <w:rsid w:val="30564C58"/>
    <w:rsid w:val="307E45AF"/>
    <w:rsid w:val="30B23CBB"/>
    <w:rsid w:val="30B95F03"/>
    <w:rsid w:val="30C123F4"/>
    <w:rsid w:val="30E252CB"/>
    <w:rsid w:val="311537F0"/>
    <w:rsid w:val="315E511F"/>
    <w:rsid w:val="31A411C1"/>
    <w:rsid w:val="31D72FDD"/>
    <w:rsid w:val="32345C56"/>
    <w:rsid w:val="32430FFB"/>
    <w:rsid w:val="32594A1C"/>
    <w:rsid w:val="325C01CA"/>
    <w:rsid w:val="32AA2C68"/>
    <w:rsid w:val="32BA74D7"/>
    <w:rsid w:val="32BF2D77"/>
    <w:rsid w:val="32C33444"/>
    <w:rsid w:val="32DE42B5"/>
    <w:rsid w:val="32E91C2E"/>
    <w:rsid w:val="32FA2ADC"/>
    <w:rsid w:val="3311742A"/>
    <w:rsid w:val="332B4928"/>
    <w:rsid w:val="333E2A3A"/>
    <w:rsid w:val="337A67C4"/>
    <w:rsid w:val="33952442"/>
    <w:rsid w:val="339E1946"/>
    <w:rsid w:val="33C365B1"/>
    <w:rsid w:val="34106D78"/>
    <w:rsid w:val="34264450"/>
    <w:rsid w:val="34BB7465"/>
    <w:rsid w:val="34BD33CA"/>
    <w:rsid w:val="34FA2DD0"/>
    <w:rsid w:val="34FA6512"/>
    <w:rsid w:val="35013D1A"/>
    <w:rsid w:val="353E6D69"/>
    <w:rsid w:val="35E3593F"/>
    <w:rsid w:val="3601233C"/>
    <w:rsid w:val="3631364D"/>
    <w:rsid w:val="365076A2"/>
    <w:rsid w:val="36766B00"/>
    <w:rsid w:val="3680281D"/>
    <w:rsid w:val="36FB77BF"/>
    <w:rsid w:val="37310A95"/>
    <w:rsid w:val="373C0A31"/>
    <w:rsid w:val="374D7CE6"/>
    <w:rsid w:val="37604F97"/>
    <w:rsid w:val="37E13551"/>
    <w:rsid w:val="37F13C67"/>
    <w:rsid w:val="38825EDD"/>
    <w:rsid w:val="388A5A75"/>
    <w:rsid w:val="389860C2"/>
    <w:rsid w:val="38CC22FD"/>
    <w:rsid w:val="391060DB"/>
    <w:rsid w:val="393D67A4"/>
    <w:rsid w:val="395103C4"/>
    <w:rsid w:val="39555F5D"/>
    <w:rsid w:val="398C0246"/>
    <w:rsid w:val="39900E35"/>
    <w:rsid w:val="39924349"/>
    <w:rsid w:val="39931BF0"/>
    <w:rsid w:val="39B5422E"/>
    <w:rsid w:val="39C35D66"/>
    <w:rsid w:val="39D36DFE"/>
    <w:rsid w:val="39DB2C9C"/>
    <w:rsid w:val="39F34754"/>
    <w:rsid w:val="3A0444A1"/>
    <w:rsid w:val="3A1953FA"/>
    <w:rsid w:val="3A2004D4"/>
    <w:rsid w:val="3A35773B"/>
    <w:rsid w:val="3A577D90"/>
    <w:rsid w:val="3A6F6E52"/>
    <w:rsid w:val="3A745EA8"/>
    <w:rsid w:val="3A78116B"/>
    <w:rsid w:val="3A912544"/>
    <w:rsid w:val="3AB3160D"/>
    <w:rsid w:val="3AFD0E13"/>
    <w:rsid w:val="3B00554C"/>
    <w:rsid w:val="3B1D3498"/>
    <w:rsid w:val="3B3A14C4"/>
    <w:rsid w:val="3B613E13"/>
    <w:rsid w:val="3BE133BA"/>
    <w:rsid w:val="3BE365B0"/>
    <w:rsid w:val="3BF572CA"/>
    <w:rsid w:val="3C124DB5"/>
    <w:rsid w:val="3C255CA3"/>
    <w:rsid w:val="3C434923"/>
    <w:rsid w:val="3C4D3C09"/>
    <w:rsid w:val="3C83331D"/>
    <w:rsid w:val="3C8E1036"/>
    <w:rsid w:val="3CE33431"/>
    <w:rsid w:val="3D4178D9"/>
    <w:rsid w:val="3D5C3BD3"/>
    <w:rsid w:val="3DA644DD"/>
    <w:rsid w:val="3DDC2808"/>
    <w:rsid w:val="3DE25B6C"/>
    <w:rsid w:val="3E304685"/>
    <w:rsid w:val="3E4928E7"/>
    <w:rsid w:val="3E5558A1"/>
    <w:rsid w:val="3E5C7046"/>
    <w:rsid w:val="3E791EDD"/>
    <w:rsid w:val="3EBC29A0"/>
    <w:rsid w:val="3EDC2C68"/>
    <w:rsid w:val="3EF329B8"/>
    <w:rsid w:val="3EFB0039"/>
    <w:rsid w:val="3F333668"/>
    <w:rsid w:val="3F407C1D"/>
    <w:rsid w:val="3F5020C5"/>
    <w:rsid w:val="3F7B127C"/>
    <w:rsid w:val="3F903981"/>
    <w:rsid w:val="3FB201F7"/>
    <w:rsid w:val="400813D7"/>
    <w:rsid w:val="401E6BBC"/>
    <w:rsid w:val="404C4190"/>
    <w:rsid w:val="40577B5E"/>
    <w:rsid w:val="40593009"/>
    <w:rsid w:val="40666787"/>
    <w:rsid w:val="4068346A"/>
    <w:rsid w:val="409C2352"/>
    <w:rsid w:val="40A74EA9"/>
    <w:rsid w:val="40B27F8E"/>
    <w:rsid w:val="411D04C9"/>
    <w:rsid w:val="41252EDB"/>
    <w:rsid w:val="41997065"/>
    <w:rsid w:val="41DA54D8"/>
    <w:rsid w:val="42187ABE"/>
    <w:rsid w:val="423F533B"/>
    <w:rsid w:val="42557335"/>
    <w:rsid w:val="42733236"/>
    <w:rsid w:val="42B328E8"/>
    <w:rsid w:val="42B3678D"/>
    <w:rsid w:val="43016360"/>
    <w:rsid w:val="4306756B"/>
    <w:rsid w:val="430C3884"/>
    <w:rsid w:val="430D71E7"/>
    <w:rsid w:val="431A62F2"/>
    <w:rsid w:val="4326260B"/>
    <w:rsid w:val="436F3F4A"/>
    <w:rsid w:val="43766F04"/>
    <w:rsid w:val="437A49A7"/>
    <w:rsid w:val="43F059B8"/>
    <w:rsid w:val="4428542C"/>
    <w:rsid w:val="443A0ABE"/>
    <w:rsid w:val="44491DDB"/>
    <w:rsid w:val="44564767"/>
    <w:rsid w:val="449D3C38"/>
    <w:rsid w:val="44C266C7"/>
    <w:rsid w:val="44F07163"/>
    <w:rsid w:val="4541586E"/>
    <w:rsid w:val="457572C5"/>
    <w:rsid w:val="457A517B"/>
    <w:rsid w:val="45E3145C"/>
    <w:rsid w:val="460948B3"/>
    <w:rsid w:val="46127266"/>
    <w:rsid w:val="46130284"/>
    <w:rsid w:val="464F5C99"/>
    <w:rsid w:val="465A557C"/>
    <w:rsid w:val="467E5DF6"/>
    <w:rsid w:val="47234423"/>
    <w:rsid w:val="47534531"/>
    <w:rsid w:val="477119A2"/>
    <w:rsid w:val="47804CDD"/>
    <w:rsid w:val="478E39F4"/>
    <w:rsid w:val="47AB480C"/>
    <w:rsid w:val="47E96E38"/>
    <w:rsid w:val="47FF3A45"/>
    <w:rsid w:val="4865044A"/>
    <w:rsid w:val="48802209"/>
    <w:rsid w:val="48A24A37"/>
    <w:rsid w:val="48A92484"/>
    <w:rsid w:val="48B461F2"/>
    <w:rsid w:val="48D2485B"/>
    <w:rsid w:val="48E22EC4"/>
    <w:rsid w:val="497847C6"/>
    <w:rsid w:val="4981685D"/>
    <w:rsid w:val="49936A2A"/>
    <w:rsid w:val="49DE3F2D"/>
    <w:rsid w:val="4A0816FC"/>
    <w:rsid w:val="4A0C7DAE"/>
    <w:rsid w:val="4A5B2C67"/>
    <w:rsid w:val="4A623B42"/>
    <w:rsid w:val="4AAE0862"/>
    <w:rsid w:val="4AC773A4"/>
    <w:rsid w:val="4AD65745"/>
    <w:rsid w:val="4AED19D5"/>
    <w:rsid w:val="4AFD2172"/>
    <w:rsid w:val="4AFD5F43"/>
    <w:rsid w:val="4B634D56"/>
    <w:rsid w:val="4B8C3390"/>
    <w:rsid w:val="4BB334FE"/>
    <w:rsid w:val="4BB43A07"/>
    <w:rsid w:val="4BC45822"/>
    <w:rsid w:val="4BD64843"/>
    <w:rsid w:val="4BF00C1F"/>
    <w:rsid w:val="4C123FE2"/>
    <w:rsid w:val="4C5E1BC5"/>
    <w:rsid w:val="4C727900"/>
    <w:rsid w:val="4CA243DB"/>
    <w:rsid w:val="4CAD68B1"/>
    <w:rsid w:val="4CD963AA"/>
    <w:rsid w:val="4CEA49C9"/>
    <w:rsid w:val="4D405120"/>
    <w:rsid w:val="4D6428F6"/>
    <w:rsid w:val="4D7F1DFA"/>
    <w:rsid w:val="4DA83D67"/>
    <w:rsid w:val="4DC15EC7"/>
    <w:rsid w:val="4DC40350"/>
    <w:rsid w:val="4DFB70BD"/>
    <w:rsid w:val="4E1A53F8"/>
    <w:rsid w:val="4E266712"/>
    <w:rsid w:val="4E4C59F5"/>
    <w:rsid w:val="4E6406A9"/>
    <w:rsid w:val="4E6F57D6"/>
    <w:rsid w:val="4EAB5678"/>
    <w:rsid w:val="4EB16CE6"/>
    <w:rsid w:val="4EF87033"/>
    <w:rsid w:val="4F071341"/>
    <w:rsid w:val="4F0E056F"/>
    <w:rsid w:val="4F1669A2"/>
    <w:rsid w:val="4F2A088F"/>
    <w:rsid w:val="4F6442C7"/>
    <w:rsid w:val="4FA317AE"/>
    <w:rsid w:val="4FE92D0D"/>
    <w:rsid w:val="50002C37"/>
    <w:rsid w:val="50086534"/>
    <w:rsid w:val="500E09CC"/>
    <w:rsid w:val="50335BF4"/>
    <w:rsid w:val="504A4925"/>
    <w:rsid w:val="509114EF"/>
    <w:rsid w:val="50A01F5C"/>
    <w:rsid w:val="50BB5E8D"/>
    <w:rsid w:val="50C53B40"/>
    <w:rsid w:val="50C87D1D"/>
    <w:rsid w:val="50E730CD"/>
    <w:rsid w:val="51015293"/>
    <w:rsid w:val="51080031"/>
    <w:rsid w:val="511E5298"/>
    <w:rsid w:val="51281690"/>
    <w:rsid w:val="51493584"/>
    <w:rsid w:val="51615771"/>
    <w:rsid w:val="517816C3"/>
    <w:rsid w:val="518A40F8"/>
    <w:rsid w:val="51B573C7"/>
    <w:rsid w:val="523B6ECB"/>
    <w:rsid w:val="5261453C"/>
    <w:rsid w:val="52692A75"/>
    <w:rsid w:val="52797A03"/>
    <w:rsid w:val="52870AA3"/>
    <w:rsid w:val="52E54236"/>
    <w:rsid w:val="52E65063"/>
    <w:rsid w:val="52EA2152"/>
    <w:rsid w:val="532C4175"/>
    <w:rsid w:val="536C7641"/>
    <w:rsid w:val="53760A39"/>
    <w:rsid w:val="539B435F"/>
    <w:rsid w:val="53B3176D"/>
    <w:rsid w:val="53E70BC4"/>
    <w:rsid w:val="54065D20"/>
    <w:rsid w:val="5425066B"/>
    <w:rsid w:val="54732DE4"/>
    <w:rsid w:val="547A56CB"/>
    <w:rsid w:val="54AA7576"/>
    <w:rsid w:val="54BB6E08"/>
    <w:rsid w:val="54BC7AE0"/>
    <w:rsid w:val="54BD3841"/>
    <w:rsid w:val="54CD67D6"/>
    <w:rsid w:val="54FC1593"/>
    <w:rsid w:val="550B6D63"/>
    <w:rsid w:val="55265F50"/>
    <w:rsid w:val="553E0D9B"/>
    <w:rsid w:val="55821CB6"/>
    <w:rsid w:val="55997BA4"/>
    <w:rsid w:val="55BB1F3A"/>
    <w:rsid w:val="55E738C7"/>
    <w:rsid w:val="56013FE1"/>
    <w:rsid w:val="56024BA5"/>
    <w:rsid w:val="560B48D5"/>
    <w:rsid w:val="56352128"/>
    <w:rsid w:val="563952E7"/>
    <w:rsid w:val="5647080A"/>
    <w:rsid w:val="56484751"/>
    <w:rsid w:val="56493019"/>
    <w:rsid w:val="5658473D"/>
    <w:rsid w:val="56684E1A"/>
    <w:rsid w:val="568529A7"/>
    <w:rsid w:val="56A32702"/>
    <w:rsid w:val="56B31493"/>
    <w:rsid w:val="56B4335B"/>
    <w:rsid w:val="56EB1EE7"/>
    <w:rsid w:val="570338F8"/>
    <w:rsid w:val="572B20DD"/>
    <w:rsid w:val="573F2166"/>
    <w:rsid w:val="575C74D9"/>
    <w:rsid w:val="576F6EA9"/>
    <w:rsid w:val="577C7A73"/>
    <w:rsid w:val="5790617B"/>
    <w:rsid w:val="57AF3FD0"/>
    <w:rsid w:val="57D95B99"/>
    <w:rsid w:val="57F7F6EF"/>
    <w:rsid w:val="58165FFD"/>
    <w:rsid w:val="585F2C97"/>
    <w:rsid w:val="58726076"/>
    <w:rsid w:val="587B1BB1"/>
    <w:rsid w:val="58887262"/>
    <w:rsid w:val="58B740E7"/>
    <w:rsid w:val="58B90548"/>
    <w:rsid w:val="58E03BDA"/>
    <w:rsid w:val="58FF0479"/>
    <w:rsid w:val="59282B75"/>
    <w:rsid w:val="59297638"/>
    <w:rsid w:val="594276D3"/>
    <w:rsid w:val="59495742"/>
    <w:rsid w:val="599B3347"/>
    <w:rsid w:val="59B64D9E"/>
    <w:rsid w:val="59C21D96"/>
    <w:rsid w:val="59D53557"/>
    <w:rsid w:val="59DE2B42"/>
    <w:rsid w:val="5A1470EE"/>
    <w:rsid w:val="5A1C6B5A"/>
    <w:rsid w:val="5A4474F4"/>
    <w:rsid w:val="5A5E43F6"/>
    <w:rsid w:val="5A67360B"/>
    <w:rsid w:val="5A70378E"/>
    <w:rsid w:val="5A821C06"/>
    <w:rsid w:val="5ABC2009"/>
    <w:rsid w:val="5AFC7829"/>
    <w:rsid w:val="5B0E3CEF"/>
    <w:rsid w:val="5B213738"/>
    <w:rsid w:val="5B60613A"/>
    <w:rsid w:val="5BA61335"/>
    <w:rsid w:val="5BD106A4"/>
    <w:rsid w:val="5BE97B7F"/>
    <w:rsid w:val="5C413E16"/>
    <w:rsid w:val="5C6C7A18"/>
    <w:rsid w:val="5C9F73BB"/>
    <w:rsid w:val="5CA36B27"/>
    <w:rsid w:val="5CC94D24"/>
    <w:rsid w:val="5D277AD7"/>
    <w:rsid w:val="5D353301"/>
    <w:rsid w:val="5D520673"/>
    <w:rsid w:val="5D8734FD"/>
    <w:rsid w:val="5D920F94"/>
    <w:rsid w:val="5DB449D7"/>
    <w:rsid w:val="5DBD2D97"/>
    <w:rsid w:val="5DD67B6B"/>
    <w:rsid w:val="5E0363A9"/>
    <w:rsid w:val="5E0C4B27"/>
    <w:rsid w:val="5E1E164D"/>
    <w:rsid w:val="5E58112D"/>
    <w:rsid w:val="5E5F5205"/>
    <w:rsid w:val="5E727D08"/>
    <w:rsid w:val="5E876331"/>
    <w:rsid w:val="5ECC7F1D"/>
    <w:rsid w:val="5EF24516"/>
    <w:rsid w:val="5EFE4C88"/>
    <w:rsid w:val="5F293F60"/>
    <w:rsid w:val="5F2C4BBF"/>
    <w:rsid w:val="5F392E12"/>
    <w:rsid w:val="5F837DAC"/>
    <w:rsid w:val="5F95707B"/>
    <w:rsid w:val="5FA362B2"/>
    <w:rsid w:val="60196D73"/>
    <w:rsid w:val="60551BD4"/>
    <w:rsid w:val="60665C1E"/>
    <w:rsid w:val="61982EDE"/>
    <w:rsid w:val="61A3792A"/>
    <w:rsid w:val="61B431F8"/>
    <w:rsid w:val="62000CFE"/>
    <w:rsid w:val="62036030"/>
    <w:rsid w:val="620626F6"/>
    <w:rsid w:val="620A1069"/>
    <w:rsid w:val="623B0EA4"/>
    <w:rsid w:val="62832BCA"/>
    <w:rsid w:val="62932E66"/>
    <w:rsid w:val="629E17E6"/>
    <w:rsid w:val="62B54FB4"/>
    <w:rsid w:val="62D459B6"/>
    <w:rsid w:val="62FA5A0C"/>
    <w:rsid w:val="635B0D9A"/>
    <w:rsid w:val="638A761D"/>
    <w:rsid w:val="638E67B4"/>
    <w:rsid w:val="63A6132E"/>
    <w:rsid w:val="640732AC"/>
    <w:rsid w:val="641811EF"/>
    <w:rsid w:val="641C3894"/>
    <w:rsid w:val="643303F8"/>
    <w:rsid w:val="64441204"/>
    <w:rsid w:val="645338D9"/>
    <w:rsid w:val="646707BD"/>
    <w:rsid w:val="64E44D1B"/>
    <w:rsid w:val="65077AE2"/>
    <w:rsid w:val="650C0547"/>
    <w:rsid w:val="65392699"/>
    <w:rsid w:val="654D2AEF"/>
    <w:rsid w:val="655A2308"/>
    <w:rsid w:val="65766A16"/>
    <w:rsid w:val="65893AD8"/>
    <w:rsid w:val="658F144F"/>
    <w:rsid w:val="65E3691C"/>
    <w:rsid w:val="65E5010A"/>
    <w:rsid w:val="65E81727"/>
    <w:rsid w:val="65F242EE"/>
    <w:rsid w:val="65F46E22"/>
    <w:rsid w:val="65FF0B7A"/>
    <w:rsid w:val="663E5750"/>
    <w:rsid w:val="6651348F"/>
    <w:rsid w:val="666E6FEC"/>
    <w:rsid w:val="66BF3AE2"/>
    <w:rsid w:val="66C161FB"/>
    <w:rsid w:val="66C57AFD"/>
    <w:rsid w:val="66CE2474"/>
    <w:rsid w:val="66CF56D2"/>
    <w:rsid w:val="66D73473"/>
    <w:rsid w:val="66E8218C"/>
    <w:rsid w:val="66F42721"/>
    <w:rsid w:val="671B3FB8"/>
    <w:rsid w:val="672B5331"/>
    <w:rsid w:val="67345D03"/>
    <w:rsid w:val="676324FD"/>
    <w:rsid w:val="67764912"/>
    <w:rsid w:val="67790BFF"/>
    <w:rsid w:val="67875F8C"/>
    <w:rsid w:val="679C2B93"/>
    <w:rsid w:val="67BA4F21"/>
    <w:rsid w:val="67D55C76"/>
    <w:rsid w:val="67D75828"/>
    <w:rsid w:val="67E004CF"/>
    <w:rsid w:val="67FC7FCB"/>
    <w:rsid w:val="680C2EEA"/>
    <w:rsid w:val="680E3321"/>
    <w:rsid w:val="68187E17"/>
    <w:rsid w:val="684D39CE"/>
    <w:rsid w:val="6852376A"/>
    <w:rsid w:val="68735867"/>
    <w:rsid w:val="68B02080"/>
    <w:rsid w:val="68CE307F"/>
    <w:rsid w:val="69345580"/>
    <w:rsid w:val="695259EE"/>
    <w:rsid w:val="69701468"/>
    <w:rsid w:val="69B35ACA"/>
    <w:rsid w:val="69D9500B"/>
    <w:rsid w:val="69F92B5A"/>
    <w:rsid w:val="6A004A8F"/>
    <w:rsid w:val="6A0A3131"/>
    <w:rsid w:val="6A3B2520"/>
    <w:rsid w:val="6A48221F"/>
    <w:rsid w:val="6A573C83"/>
    <w:rsid w:val="6A763B7E"/>
    <w:rsid w:val="6A811ACA"/>
    <w:rsid w:val="6AA62698"/>
    <w:rsid w:val="6AA76641"/>
    <w:rsid w:val="6AAF6C52"/>
    <w:rsid w:val="6ADD762D"/>
    <w:rsid w:val="6B052993"/>
    <w:rsid w:val="6B212899"/>
    <w:rsid w:val="6B2C1BF3"/>
    <w:rsid w:val="6B7C44FB"/>
    <w:rsid w:val="6BCD5A15"/>
    <w:rsid w:val="6BD6020E"/>
    <w:rsid w:val="6BD63CBC"/>
    <w:rsid w:val="6BE57D10"/>
    <w:rsid w:val="6BE95791"/>
    <w:rsid w:val="6C1F49BF"/>
    <w:rsid w:val="6C355F9C"/>
    <w:rsid w:val="6C446BC6"/>
    <w:rsid w:val="6CE0394A"/>
    <w:rsid w:val="6CEC235E"/>
    <w:rsid w:val="6D177182"/>
    <w:rsid w:val="6D1A6418"/>
    <w:rsid w:val="6D326076"/>
    <w:rsid w:val="6D506A2E"/>
    <w:rsid w:val="6D5A3487"/>
    <w:rsid w:val="6D5E2CCD"/>
    <w:rsid w:val="6D6D502F"/>
    <w:rsid w:val="6D6E60CD"/>
    <w:rsid w:val="6D8F6C94"/>
    <w:rsid w:val="6D960440"/>
    <w:rsid w:val="6DAC6487"/>
    <w:rsid w:val="6DCB5C43"/>
    <w:rsid w:val="6E195EC3"/>
    <w:rsid w:val="6E612802"/>
    <w:rsid w:val="6E741A0F"/>
    <w:rsid w:val="6E767150"/>
    <w:rsid w:val="6E790E04"/>
    <w:rsid w:val="6E850AD6"/>
    <w:rsid w:val="6E87536A"/>
    <w:rsid w:val="6EB57C00"/>
    <w:rsid w:val="6ED07FA1"/>
    <w:rsid w:val="6ED62326"/>
    <w:rsid w:val="6EF466AA"/>
    <w:rsid w:val="6F0842EA"/>
    <w:rsid w:val="6F0913B5"/>
    <w:rsid w:val="6F17262A"/>
    <w:rsid w:val="6F9B720B"/>
    <w:rsid w:val="6FAC1505"/>
    <w:rsid w:val="6FAC3D22"/>
    <w:rsid w:val="6FC67692"/>
    <w:rsid w:val="6FEC55A3"/>
    <w:rsid w:val="6FF17ED0"/>
    <w:rsid w:val="70012EE1"/>
    <w:rsid w:val="707F3FBD"/>
    <w:rsid w:val="7096180D"/>
    <w:rsid w:val="70A86C3A"/>
    <w:rsid w:val="70BC5393"/>
    <w:rsid w:val="70D2387C"/>
    <w:rsid w:val="70D87128"/>
    <w:rsid w:val="711F552E"/>
    <w:rsid w:val="716C253C"/>
    <w:rsid w:val="718A64BC"/>
    <w:rsid w:val="71CE569C"/>
    <w:rsid w:val="71E34648"/>
    <w:rsid w:val="726D4DB5"/>
    <w:rsid w:val="728F6340"/>
    <w:rsid w:val="72E44A02"/>
    <w:rsid w:val="73077939"/>
    <w:rsid w:val="732A1831"/>
    <w:rsid w:val="73483B9D"/>
    <w:rsid w:val="736A3516"/>
    <w:rsid w:val="736E5CB2"/>
    <w:rsid w:val="73702990"/>
    <w:rsid w:val="7395223B"/>
    <w:rsid w:val="73AD67AC"/>
    <w:rsid w:val="73B452D9"/>
    <w:rsid w:val="73C93E8A"/>
    <w:rsid w:val="7401158C"/>
    <w:rsid w:val="74062D66"/>
    <w:rsid w:val="740D2C6D"/>
    <w:rsid w:val="74280E7C"/>
    <w:rsid w:val="743B71FB"/>
    <w:rsid w:val="74404DBF"/>
    <w:rsid w:val="745E0E85"/>
    <w:rsid w:val="7487472F"/>
    <w:rsid w:val="74A52357"/>
    <w:rsid w:val="74A92E08"/>
    <w:rsid w:val="74ED0A6F"/>
    <w:rsid w:val="74ED7E14"/>
    <w:rsid w:val="75433805"/>
    <w:rsid w:val="754F5658"/>
    <w:rsid w:val="75643696"/>
    <w:rsid w:val="756B7C19"/>
    <w:rsid w:val="75797DCA"/>
    <w:rsid w:val="75DD52AE"/>
    <w:rsid w:val="75F86ED0"/>
    <w:rsid w:val="76935D1D"/>
    <w:rsid w:val="76A6298D"/>
    <w:rsid w:val="76A71171"/>
    <w:rsid w:val="76D6266E"/>
    <w:rsid w:val="76E76806"/>
    <w:rsid w:val="771539D0"/>
    <w:rsid w:val="773F2020"/>
    <w:rsid w:val="77460F4F"/>
    <w:rsid w:val="7749091F"/>
    <w:rsid w:val="77776737"/>
    <w:rsid w:val="779D2BAA"/>
    <w:rsid w:val="779F6414"/>
    <w:rsid w:val="77A20AB7"/>
    <w:rsid w:val="77B45668"/>
    <w:rsid w:val="77B96484"/>
    <w:rsid w:val="77E315FD"/>
    <w:rsid w:val="77FB23EE"/>
    <w:rsid w:val="77FB54EE"/>
    <w:rsid w:val="78476BC0"/>
    <w:rsid w:val="78601FC7"/>
    <w:rsid w:val="78707237"/>
    <w:rsid w:val="787D6CB8"/>
    <w:rsid w:val="788E01A2"/>
    <w:rsid w:val="78CC4A5D"/>
    <w:rsid w:val="78F34776"/>
    <w:rsid w:val="78FA3B98"/>
    <w:rsid w:val="791C60EA"/>
    <w:rsid w:val="7944563C"/>
    <w:rsid w:val="79491017"/>
    <w:rsid w:val="79A74E86"/>
    <w:rsid w:val="79D5678C"/>
    <w:rsid w:val="79E40003"/>
    <w:rsid w:val="79F6366C"/>
    <w:rsid w:val="7A2736ED"/>
    <w:rsid w:val="7A3A7D8C"/>
    <w:rsid w:val="7A516126"/>
    <w:rsid w:val="7A624EAD"/>
    <w:rsid w:val="7A6B3794"/>
    <w:rsid w:val="7AAB01EC"/>
    <w:rsid w:val="7AD6435A"/>
    <w:rsid w:val="7AD64A97"/>
    <w:rsid w:val="7ADB08A6"/>
    <w:rsid w:val="7AE879F4"/>
    <w:rsid w:val="7AEF6680"/>
    <w:rsid w:val="7AF30189"/>
    <w:rsid w:val="7B635E4B"/>
    <w:rsid w:val="7BF94118"/>
    <w:rsid w:val="7C417D55"/>
    <w:rsid w:val="7C8038A4"/>
    <w:rsid w:val="7C95557C"/>
    <w:rsid w:val="7CA47516"/>
    <w:rsid w:val="7CBF32DF"/>
    <w:rsid w:val="7CBF78A4"/>
    <w:rsid w:val="7CE80CEF"/>
    <w:rsid w:val="7D364FB1"/>
    <w:rsid w:val="7D3B79F0"/>
    <w:rsid w:val="7D605C1A"/>
    <w:rsid w:val="7D7319B3"/>
    <w:rsid w:val="7D752DCB"/>
    <w:rsid w:val="7D9D3C24"/>
    <w:rsid w:val="7DCC62E1"/>
    <w:rsid w:val="7DDF16F3"/>
    <w:rsid w:val="7DEA36B6"/>
    <w:rsid w:val="7E0F0552"/>
    <w:rsid w:val="7ECC47CC"/>
    <w:rsid w:val="7EEC18F0"/>
    <w:rsid w:val="7EFC70C2"/>
    <w:rsid w:val="7F2072AF"/>
    <w:rsid w:val="7F3638AD"/>
    <w:rsid w:val="7F4236F9"/>
    <w:rsid w:val="7F622D65"/>
    <w:rsid w:val="7FBC0AEB"/>
    <w:rsid w:val="7FE67C91"/>
    <w:rsid w:val="9B9FF8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3"/>
    <w:qFormat/>
    <w:uiPriority w:val="0"/>
    <w:pPr>
      <w:spacing w:line="360" w:lineRule="exact"/>
      <w:jc w:val="center"/>
      <w:outlineLvl w:val="0"/>
    </w:pPr>
    <w:rPr>
      <w:rFonts w:ascii="宋体"/>
      <w:b/>
      <w:kern w:val="0"/>
      <w:sz w:val="30"/>
      <w:szCs w:val="24"/>
    </w:rPr>
  </w:style>
  <w:style w:type="paragraph" w:styleId="3">
    <w:name w:val="heading 2"/>
    <w:basedOn w:val="1"/>
    <w:next w:val="1"/>
    <w:link w:val="44"/>
    <w:qFormat/>
    <w:uiPriority w:val="0"/>
    <w:pPr>
      <w:jc w:val="center"/>
      <w:outlineLvl w:val="1"/>
    </w:pPr>
    <w:rPr>
      <w:rFonts w:ascii="宋体" w:hAnsi="宋体"/>
      <w:kern w:val="0"/>
      <w:sz w:val="32"/>
      <w:szCs w:val="24"/>
    </w:rPr>
  </w:style>
  <w:style w:type="paragraph" w:styleId="4">
    <w:name w:val="heading 3"/>
    <w:basedOn w:val="1"/>
    <w:next w:val="1"/>
    <w:link w:val="45"/>
    <w:qFormat/>
    <w:uiPriority w:val="0"/>
    <w:pPr>
      <w:keepNext/>
      <w:keepLines/>
      <w:spacing w:line="413" w:lineRule="auto"/>
      <w:jc w:val="center"/>
      <w:outlineLvl w:val="2"/>
    </w:pPr>
    <w:rPr>
      <w:rFonts w:ascii="宋体" w:hAnsi="宋体"/>
      <w:b/>
      <w:bCs/>
      <w:kern w:val="0"/>
      <w:sz w:val="32"/>
      <w:szCs w:val="32"/>
    </w:rPr>
  </w:style>
  <w:style w:type="paragraph" w:styleId="5">
    <w:name w:val="heading 4"/>
    <w:basedOn w:val="1"/>
    <w:next w:val="1"/>
    <w:link w:val="46"/>
    <w:qFormat/>
    <w:uiPriority w:val="0"/>
    <w:pPr>
      <w:keepNext/>
      <w:keepLines/>
      <w:spacing w:before="280" w:after="290" w:line="376" w:lineRule="auto"/>
      <w:outlineLvl w:val="3"/>
    </w:pPr>
    <w:rPr>
      <w:rFonts w:ascii="Cambria" w:hAnsi="Cambria"/>
      <w:b/>
      <w:bCs/>
      <w:kern w:val="0"/>
      <w:sz w:val="28"/>
      <w:szCs w:val="28"/>
    </w:rPr>
  </w:style>
  <w:style w:type="character" w:default="1" w:styleId="36">
    <w:name w:val="Default Paragraph Font"/>
    <w:unhideWhenUsed/>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6">
    <w:name w:val="toc 7"/>
    <w:basedOn w:val="1"/>
    <w:next w:val="1"/>
    <w:uiPriority w:val="39"/>
    <w:pPr>
      <w:ind w:left="2520" w:leftChars="1200"/>
    </w:pPr>
    <w:rPr>
      <w:rFonts w:ascii="Times New Roman" w:hAnsi="Times New Roman" w:eastAsia="宋体" w:cs="Times New Roman"/>
      <w:szCs w:val="24"/>
    </w:rPr>
  </w:style>
  <w:style w:type="paragraph" w:styleId="7">
    <w:name w:val="Normal Indent"/>
    <w:basedOn w:val="1"/>
    <w:qFormat/>
    <w:uiPriority w:val="0"/>
    <w:pPr>
      <w:ind w:firstLine="420" w:firstLineChars="200"/>
    </w:pPr>
    <w:rPr>
      <w:rFonts w:ascii="Times New Roman" w:hAnsi="Times New Roman" w:eastAsia="宋体" w:cs="Times New Roman"/>
      <w:szCs w:val="24"/>
    </w:rPr>
  </w:style>
  <w:style w:type="paragraph" w:styleId="8">
    <w:name w:val="annotation text"/>
    <w:basedOn w:val="1"/>
    <w:link w:val="47"/>
    <w:qFormat/>
    <w:uiPriority w:val="0"/>
    <w:pPr>
      <w:jc w:val="left"/>
    </w:pPr>
    <w:rPr>
      <w:kern w:val="0"/>
      <w:sz w:val="20"/>
      <w:szCs w:val="20"/>
    </w:rPr>
  </w:style>
  <w:style w:type="paragraph" w:styleId="9">
    <w:name w:val="Body Text"/>
    <w:basedOn w:val="1"/>
    <w:link w:val="48"/>
    <w:unhideWhenUsed/>
    <w:qFormat/>
    <w:uiPriority w:val="0"/>
    <w:pPr>
      <w:spacing w:after="120"/>
    </w:pPr>
  </w:style>
  <w:style w:type="paragraph" w:styleId="10">
    <w:name w:val="Body Text Indent"/>
    <w:basedOn w:val="1"/>
    <w:next w:val="1"/>
    <w:link w:val="49"/>
    <w:qFormat/>
    <w:uiPriority w:val="0"/>
    <w:pPr>
      <w:spacing w:after="120"/>
      <w:ind w:left="420" w:leftChars="200"/>
    </w:pPr>
    <w:rPr>
      <w:kern w:val="0"/>
      <w:sz w:val="20"/>
      <w:szCs w:val="24"/>
    </w:rPr>
  </w:style>
  <w:style w:type="paragraph" w:styleId="11">
    <w:name w:val="toc 5"/>
    <w:basedOn w:val="1"/>
    <w:next w:val="1"/>
    <w:qFormat/>
    <w:uiPriority w:val="39"/>
    <w:pPr>
      <w:ind w:left="1680" w:leftChars="800"/>
    </w:pPr>
    <w:rPr>
      <w:rFonts w:ascii="Times New Roman" w:hAnsi="Times New Roman" w:eastAsia="宋体" w:cs="Times New Roman"/>
      <w:szCs w:val="24"/>
    </w:rPr>
  </w:style>
  <w:style w:type="paragraph" w:styleId="12">
    <w:name w:val="toc 3"/>
    <w:basedOn w:val="1"/>
    <w:next w:val="1"/>
    <w:qFormat/>
    <w:uiPriority w:val="39"/>
    <w:pPr>
      <w:tabs>
        <w:tab w:val="right" w:leader="dot" w:pos="8280"/>
      </w:tabs>
    </w:pPr>
    <w:rPr>
      <w:rFonts w:ascii="Times New Roman" w:hAnsi="Times New Roman" w:eastAsia="宋体" w:cs="Times New Roman"/>
      <w:szCs w:val="24"/>
    </w:rPr>
  </w:style>
  <w:style w:type="paragraph" w:styleId="13">
    <w:name w:val="Plain Text"/>
    <w:basedOn w:val="1"/>
    <w:link w:val="50"/>
    <w:qFormat/>
    <w:uiPriority w:val="0"/>
    <w:rPr>
      <w:rFonts w:ascii="宋体" w:hAnsi="Courier New"/>
      <w:kern w:val="0"/>
      <w:sz w:val="20"/>
      <w:szCs w:val="24"/>
    </w:rPr>
  </w:style>
  <w:style w:type="paragraph" w:styleId="14">
    <w:name w:val="toc 8"/>
    <w:basedOn w:val="1"/>
    <w:next w:val="1"/>
    <w:qFormat/>
    <w:uiPriority w:val="39"/>
    <w:pPr>
      <w:ind w:left="2940" w:leftChars="1400"/>
    </w:pPr>
    <w:rPr>
      <w:rFonts w:ascii="Times New Roman" w:hAnsi="Times New Roman" w:eastAsia="宋体" w:cs="Times New Roman"/>
      <w:szCs w:val="24"/>
    </w:rPr>
  </w:style>
  <w:style w:type="paragraph" w:styleId="15">
    <w:name w:val="Date"/>
    <w:basedOn w:val="1"/>
    <w:next w:val="1"/>
    <w:link w:val="51"/>
    <w:qFormat/>
    <w:uiPriority w:val="0"/>
    <w:rPr>
      <w:rFonts w:eastAsia="黑体"/>
      <w:kern w:val="0"/>
      <w:sz w:val="24"/>
      <w:szCs w:val="20"/>
    </w:rPr>
  </w:style>
  <w:style w:type="paragraph" w:styleId="16">
    <w:name w:val="Body Text Indent 2"/>
    <w:basedOn w:val="1"/>
    <w:link w:val="52"/>
    <w:qFormat/>
    <w:uiPriority w:val="0"/>
    <w:pPr>
      <w:spacing w:line="280" w:lineRule="exact"/>
      <w:ind w:firstLine="360"/>
    </w:pPr>
    <w:rPr>
      <w:color w:val="FF0000"/>
      <w:kern w:val="0"/>
      <w:sz w:val="18"/>
      <w:szCs w:val="24"/>
    </w:rPr>
  </w:style>
  <w:style w:type="paragraph" w:styleId="17">
    <w:name w:val="Balloon Text"/>
    <w:basedOn w:val="1"/>
    <w:link w:val="53"/>
    <w:qFormat/>
    <w:uiPriority w:val="0"/>
    <w:rPr>
      <w:kern w:val="0"/>
      <w:sz w:val="18"/>
      <w:szCs w:val="18"/>
    </w:rPr>
  </w:style>
  <w:style w:type="paragraph" w:styleId="18">
    <w:name w:val="footer"/>
    <w:basedOn w:val="1"/>
    <w:link w:val="54"/>
    <w:qFormat/>
    <w:uiPriority w:val="99"/>
    <w:pPr>
      <w:tabs>
        <w:tab w:val="center" w:pos="4153"/>
        <w:tab w:val="right" w:pos="8306"/>
      </w:tabs>
      <w:snapToGrid w:val="0"/>
      <w:jc w:val="left"/>
    </w:pPr>
    <w:rPr>
      <w:kern w:val="0"/>
      <w:sz w:val="18"/>
      <w:szCs w:val="18"/>
    </w:rPr>
  </w:style>
  <w:style w:type="paragraph" w:styleId="19">
    <w:name w:val="header"/>
    <w:basedOn w:val="1"/>
    <w:link w:val="55"/>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tabs>
        <w:tab w:val="right" w:leader="dot" w:pos="8280"/>
      </w:tabs>
    </w:pPr>
    <w:rPr>
      <w:rFonts w:ascii="Times New Roman" w:hAnsi="Times New Roman" w:eastAsia="宋体" w:cs="Times New Roman"/>
      <w:szCs w:val="24"/>
    </w:rPr>
  </w:style>
  <w:style w:type="paragraph" w:styleId="21">
    <w:name w:val="toc 4"/>
    <w:basedOn w:val="1"/>
    <w:next w:val="1"/>
    <w:qFormat/>
    <w:uiPriority w:val="39"/>
    <w:pPr>
      <w:ind w:left="1260" w:leftChars="600"/>
    </w:pPr>
    <w:rPr>
      <w:rFonts w:ascii="Times New Roman" w:hAnsi="Times New Roman" w:eastAsia="宋体" w:cs="Times New Roman"/>
      <w:szCs w:val="24"/>
    </w:rPr>
  </w:style>
  <w:style w:type="paragraph" w:styleId="22">
    <w:name w:val="List"/>
    <w:basedOn w:val="1"/>
    <w:qFormat/>
    <w:uiPriority w:val="0"/>
    <w:pPr>
      <w:ind w:left="420" w:hanging="420"/>
    </w:pPr>
    <w:rPr>
      <w:rFonts w:hint="eastAsia" w:ascii="Times New Roman" w:hAnsi="Times New Roman" w:eastAsia="楷体_GB2312" w:cs="Times New Roman"/>
      <w:sz w:val="24"/>
      <w:szCs w:val="24"/>
    </w:rPr>
  </w:style>
  <w:style w:type="paragraph" w:styleId="23">
    <w:name w:val="footnote text"/>
    <w:basedOn w:val="1"/>
    <w:link w:val="56"/>
    <w:qFormat/>
    <w:uiPriority w:val="0"/>
    <w:pPr>
      <w:autoSpaceDE w:val="0"/>
      <w:autoSpaceDN w:val="0"/>
      <w:adjustRightInd w:val="0"/>
      <w:jc w:val="left"/>
      <w:textAlignment w:val="baseline"/>
    </w:pPr>
    <w:rPr>
      <w:rFonts w:ascii="宋体"/>
      <w:kern w:val="0"/>
      <w:sz w:val="18"/>
      <w:szCs w:val="20"/>
    </w:rPr>
  </w:style>
  <w:style w:type="paragraph" w:styleId="24">
    <w:name w:val="toc 6"/>
    <w:basedOn w:val="1"/>
    <w:next w:val="1"/>
    <w:qFormat/>
    <w:uiPriority w:val="39"/>
    <w:pPr>
      <w:ind w:left="2100" w:leftChars="1000"/>
    </w:pPr>
    <w:rPr>
      <w:rFonts w:ascii="Times New Roman" w:hAnsi="Times New Roman" w:eastAsia="宋体" w:cs="Times New Roman"/>
      <w:szCs w:val="24"/>
    </w:rPr>
  </w:style>
  <w:style w:type="paragraph" w:styleId="25">
    <w:name w:val="Body Text Indent 3"/>
    <w:basedOn w:val="1"/>
    <w:link w:val="57"/>
    <w:uiPriority w:val="0"/>
    <w:pPr>
      <w:spacing w:line="260" w:lineRule="exact"/>
      <w:ind w:firstLine="360"/>
    </w:pPr>
    <w:rPr>
      <w:kern w:val="0"/>
      <w:sz w:val="18"/>
      <w:szCs w:val="24"/>
    </w:rPr>
  </w:style>
  <w:style w:type="paragraph" w:styleId="26">
    <w:name w:val="toc 2"/>
    <w:basedOn w:val="1"/>
    <w:next w:val="1"/>
    <w:qFormat/>
    <w:uiPriority w:val="39"/>
    <w:pPr>
      <w:tabs>
        <w:tab w:val="right" w:leader="dot" w:pos="8280"/>
      </w:tabs>
      <w:ind w:left="420" w:leftChars="200"/>
    </w:pPr>
    <w:rPr>
      <w:rFonts w:ascii="Times New Roman" w:hAnsi="Times New Roman" w:eastAsia="宋体" w:cs="Times New Roman"/>
      <w:szCs w:val="24"/>
    </w:rPr>
  </w:style>
  <w:style w:type="paragraph" w:styleId="27">
    <w:name w:val="toc 9"/>
    <w:basedOn w:val="1"/>
    <w:next w:val="1"/>
    <w:qFormat/>
    <w:uiPriority w:val="39"/>
    <w:pPr>
      <w:ind w:left="3360" w:leftChars="1600"/>
    </w:pPr>
    <w:rPr>
      <w:rFonts w:ascii="Times New Roman" w:hAnsi="Times New Roman" w:eastAsia="宋体" w:cs="Times New Roman"/>
      <w:szCs w:val="24"/>
    </w:rPr>
  </w:style>
  <w:style w:type="paragraph" w:styleId="28">
    <w:name w:val="Body Text 2"/>
    <w:basedOn w:val="1"/>
    <w:link w:val="58"/>
    <w:qFormat/>
    <w:uiPriority w:val="0"/>
    <w:pPr>
      <w:tabs>
        <w:tab w:val="left" w:pos="13860"/>
      </w:tabs>
      <w:spacing w:line="500" w:lineRule="exact"/>
    </w:pPr>
    <w:rPr>
      <w:rFonts w:eastAsia="华文中宋"/>
      <w:kern w:val="0"/>
      <w:sz w:val="28"/>
      <w:szCs w:val="24"/>
    </w:rPr>
  </w:style>
  <w:style w:type="paragraph" w:styleId="29">
    <w:name w:val="HTML Preformatted"/>
    <w:basedOn w:val="1"/>
    <w:link w:val="59"/>
    <w:qFormat/>
    <w:uiPriority w:val="0"/>
    <w:rPr>
      <w:rFonts w:ascii="Courier New" w:hAnsi="Courier New"/>
      <w:kern w:val="0"/>
      <w:sz w:val="20"/>
      <w:szCs w:val="20"/>
    </w:rPr>
  </w:style>
  <w:style w:type="paragraph" w:styleId="3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1">
    <w:name w:val="annotation subject"/>
    <w:basedOn w:val="8"/>
    <w:next w:val="8"/>
    <w:link w:val="60"/>
    <w:qFormat/>
    <w:uiPriority w:val="0"/>
    <w:rPr>
      <w:b/>
      <w:bCs/>
      <w:szCs w:val="24"/>
    </w:rPr>
  </w:style>
  <w:style w:type="paragraph" w:styleId="32">
    <w:name w:val="Body Text First Indent"/>
    <w:basedOn w:val="9"/>
    <w:link w:val="61"/>
    <w:qFormat/>
    <w:uiPriority w:val="0"/>
    <w:pPr>
      <w:ind w:firstLine="420"/>
    </w:pPr>
    <w:rPr>
      <w:rFonts w:eastAsia="楷体_GB2312"/>
      <w:kern w:val="0"/>
      <w:sz w:val="24"/>
      <w:szCs w:val="24"/>
    </w:rPr>
  </w:style>
  <w:style w:type="paragraph" w:styleId="33">
    <w:name w:val="Body Text First Indent 2"/>
    <w:basedOn w:val="10"/>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1 字符"/>
    <w:link w:val="2"/>
    <w:qFormat/>
    <w:uiPriority w:val="0"/>
    <w:rPr>
      <w:rFonts w:ascii="宋体" w:hAnsi="Times New Roman" w:eastAsia="宋体" w:cs="Times New Roman"/>
      <w:b/>
      <w:sz w:val="30"/>
      <w:szCs w:val="24"/>
    </w:rPr>
  </w:style>
  <w:style w:type="character" w:customStyle="1" w:styleId="44">
    <w:name w:val="标题 2 字符"/>
    <w:basedOn w:val="36"/>
    <w:link w:val="3"/>
    <w:qFormat/>
    <w:uiPriority w:val="0"/>
    <w:rPr>
      <w:rFonts w:ascii="宋体" w:hAnsi="宋体" w:eastAsia="宋体" w:cs="Times New Roman"/>
      <w:sz w:val="32"/>
      <w:szCs w:val="24"/>
    </w:rPr>
  </w:style>
  <w:style w:type="character" w:customStyle="1" w:styleId="45">
    <w:name w:val="标题 3 字符"/>
    <w:link w:val="4"/>
    <w:qFormat/>
    <w:uiPriority w:val="0"/>
    <w:rPr>
      <w:rFonts w:ascii="宋体" w:hAnsi="宋体" w:eastAsia="宋体" w:cs="Times New Roman"/>
      <w:b/>
      <w:bCs/>
      <w:sz w:val="32"/>
      <w:szCs w:val="32"/>
    </w:rPr>
  </w:style>
  <w:style w:type="character" w:customStyle="1" w:styleId="46">
    <w:name w:val="标题 4 字符"/>
    <w:link w:val="5"/>
    <w:qFormat/>
    <w:uiPriority w:val="0"/>
    <w:rPr>
      <w:rFonts w:ascii="Cambria" w:hAnsi="Cambria" w:eastAsia="宋体" w:cs="Times New Roman"/>
      <w:b/>
      <w:bCs/>
      <w:sz w:val="28"/>
      <w:szCs w:val="28"/>
    </w:rPr>
  </w:style>
  <w:style w:type="character" w:customStyle="1" w:styleId="47">
    <w:name w:val="批注文字 字符"/>
    <w:link w:val="8"/>
    <w:qFormat/>
    <w:uiPriority w:val="0"/>
    <w:rPr>
      <w:rFonts w:ascii="Times New Roman" w:hAnsi="Times New Roman" w:eastAsia="宋体" w:cs="Times New Roman"/>
      <w:szCs w:val="20"/>
    </w:rPr>
  </w:style>
  <w:style w:type="character" w:customStyle="1" w:styleId="48">
    <w:name w:val="正文文本 字符"/>
    <w:basedOn w:val="36"/>
    <w:link w:val="9"/>
    <w:semiHidden/>
    <w:qFormat/>
    <w:uiPriority w:val="99"/>
  </w:style>
  <w:style w:type="character" w:customStyle="1" w:styleId="49">
    <w:name w:val="正文文本缩进 字符"/>
    <w:link w:val="10"/>
    <w:qFormat/>
    <w:uiPriority w:val="0"/>
    <w:rPr>
      <w:rFonts w:ascii="Times New Roman" w:hAnsi="Times New Roman" w:eastAsia="宋体" w:cs="Times New Roman"/>
      <w:szCs w:val="24"/>
    </w:rPr>
  </w:style>
  <w:style w:type="character" w:customStyle="1" w:styleId="50">
    <w:name w:val="纯文本 字符"/>
    <w:link w:val="13"/>
    <w:qFormat/>
    <w:uiPriority w:val="0"/>
    <w:rPr>
      <w:rFonts w:ascii="宋体" w:hAnsi="Courier New" w:eastAsia="宋体" w:cs="Times New Roman"/>
      <w:szCs w:val="24"/>
      <w:lang w:val="en-US" w:eastAsia="zh-CN"/>
    </w:rPr>
  </w:style>
  <w:style w:type="character" w:customStyle="1" w:styleId="51">
    <w:name w:val="日期 字符"/>
    <w:link w:val="15"/>
    <w:qFormat/>
    <w:uiPriority w:val="0"/>
    <w:rPr>
      <w:rFonts w:ascii="Times New Roman" w:hAnsi="Times New Roman" w:eastAsia="黑体" w:cs="Times New Roman"/>
      <w:sz w:val="24"/>
      <w:szCs w:val="20"/>
      <w:lang w:val="en-US" w:eastAsia="zh-CN"/>
    </w:rPr>
  </w:style>
  <w:style w:type="character" w:customStyle="1" w:styleId="52">
    <w:name w:val="正文文本缩进 2 字符"/>
    <w:link w:val="16"/>
    <w:qFormat/>
    <w:uiPriority w:val="0"/>
    <w:rPr>
      <w:rFonts w:ascii="Times New Roman" w:hAnsi="Times New Roman" w:eastAsia="宋体" w:cs="Times New Roman"/>
      <w:color w:val="FF0000"/>
      <w:sz w:val="18"/>
      <w:szCs w:val="24"/>
      <w:lang w:val="en-US" w:eastAsia="zh-CN"/>
    </w:rPr>
  </w:style>
  <w:style w:type="character" w:customStyle="1" w:styleId="53">
    <w:name w:val="批注框文本 字符"/>
    <w:link w:val="17"/>
    <w:qFormat/>
    <w:uiPriority w:val="0"/>
    <w:rPr>
      <w:rFonts w:ascii="Times New Roman" w:hAnsi="Times New Roman" w:eastAsia="宋体" w:cs="Times New Roman"/>
      <w:sz w:val="18"/>
      <w:szCs w:val="18"/>
    </w:rPr>
  </w:style>
  <w:style w:type="character" w:customStyle="1" w:styleId="54">
    <w:name w:val="页脚 字符"/>
    <w:link w:val="18"/>
    <w:qFormat/>
    <w:uiPriority w:val="99"/>
    <w:rPr>
      <w:rFonts w:ascii="Times New Roman" w:hAnsi="Times New Roman" w:eastAsia="宋体" w:cs="Times New Roman"/>
      <w:sz w:val="18"/>
      <w:szCs w:val="18"/>
    </w:rPr>
  </w:style>
  <w:style w:type="character" w:customStyle="1" w:styleId="55">
    <w:name w:val="页眉 字符"/>
    <w:link w:val="19"/>
    <w:qFormat/>
    <w:uiPriority w:val="0"/>
    <w:rPr>
      <w:rFonts w:ascii="Times New Roman" w:hAnsi="Times New Roman" w:eastAsia="宋体" w:cs="Times New Roman"/>
      <w:sz w:val="18"/>
      <w:szCs w:val="18"/>
    </w:rPr>
  </w:style>
  <w:style w:type="character" w:customStyle="1" w:styleId="56">
    <w:name w:val="脚注文本 字符"/>
    <w:link w:val="23"/>
    <w:qFormat/>
    <w:uiPriority w:val="0"/>
    <w:rPr>
      <w:rFonts w:ascii="宋体" w:hAnsi="Times New Roman" w:eastAsia="宋体" w:cs="Times New Roman"/>
      <w:kern w:val="0"/>
      <w:sz w:val="18"/>
      <w:szCs w:val="20"/>
    </w:rPr>
  </w:style>
  <w:style w:type="character" w:customStyle="1" w:styleId="57">
    <w:name w:val="正文文本缩进 3 字符"/>
    <w:link w:val="25"/>
    <w:qFormat/>
    <w:uiPriority w:val="0"/>
    <w:rPr>
      <w:rFonts w:ascii="Times New Roman" w:hAnsi="Times New Roman" w:eastAsia="宋体" w:cs="Times New Roman"/>
      <w:sz w:val="18"/>
      <w:szCs w:val="24"/>
      <w:lang w:val="en-US" w:eastAsia="zh-CN"/>
    </w:rPr>
  </w:style>
  <w:style w:type="character" w:customStyle="1" w:styleId="58">
    <w:name w:val="正文文本 2 字符"/>
    <w:link w:val="28"/>
    <w:qFormat/>
    <w:uiPriority w:val="0"/>
    <w:rPr>
      <w:rFonts w:ascii="Times New Roman" w:hAnsi="Times New Roman" w:eastAsia="华文中宋" w:cs="Times New Roman"/>
      <w:sz w:val="28"/>
      <w:szCs w:val="24"/>
    </w:rPr>
  </w:style>
  <w:style w:type="character" w:customStyle="1" w:styleId="59">
    <w:name w:val="HTML 预设格式 字符"/>
    <w:link w:val="29"/>
    <w:qFormat/>
    <w:uiPriority w:val="0"/>
    <w:rPr>
      <w:rFonts w:ascii="Courier New" w:hAnsi="Courier New" w:cs="Courier New"/>
    </w:rPr>
  </w:style>
  <w:style w:type="character" w:customStyle="1" w:styleId="60">
    <w:name w:val="批注主题 字符"/>
    <w:link w:val="31"/>
    <w:qFormat/>
    <w:uiPriority w:val="0"/>
    <w:rPr>
      <w:rFonts w:ascii="Times New Roman" w:hAnsi="Times New Roman"/>
      <w:b/>
      <w:bCs/>
      <w:szCs w:val="24"/>
    </w:rPr>
  </w:style>
  <w:style w:type="character" w:customStyle="1" w:styleId="61">
    <w:name w:val="正文首行缩进 字符"/>
    <w:link w:val="32"/>
    <w:qFormat/>
    <w:uiPriority w:val="0"/>
    <w:rPr>
      <w:rFonts w:ascii="Times New Roman" w:hAnsi="Times New Roman" w:eastAsia="楷体_GB2312" w:cs="Times New Roman"/>
      <w:sz w:val="24"/>
      <w:szCs w:val="24"/>
      <w:lang w:val="en-US" w:eastAsia="zh-CN"/>
    </w:rPr>
  </w:style>
  <w:style w:type="character" w:customStyle="1" w:styleId="62">
    <w:name w:val="文档结构图 Char"/>
    <w:link w:val="63"/>
    <w:qFormat/>
    <w:uiPriority w:val="0"/>
    <w:rPr>
      <w:rFonts w:ascii="宋体" w:hAnsi="Times New Roman" w:eastAsia="宋体" w:cs="Times New Roman"/>
      <w:sz w:val="18"/>
      <w:szCs w:val="18"/>
    </w:rPr>
  </w:style>
  <w:style w:type="paragraph" w:customStyle="1" w:styleId="63">
    <w:name w:val="文档结构图1"/>
    <w:basedOn w:val="1"/>
    <w:link w:val="62"/>
    <w:qFormat/>
    <w:uiPriority w:val="0"/>
    <w:rPr>
      <w:rFonts w:ascii="宋体"/>
      <w:kern w:val="0"/>
      <w:sz w:val="18"/>
      <w:szCs w:val="18"/>
    </w:rPr>
  </w:style>
  <w:style w:type="character" w:customStyle="1" w:styleId="64">
    <w:name w:val="正文文本 2 Char2"/>
    <w:basedOn w:val="36"/>
    <w:semiHidden/>
    <w:qFormat/>
    <w:uiPriority w:val="99"/>
  </w:style>
  <w:style w:type="character" w:customStyle="1" w:styleId="65">
    <w:name w:val="页眉 Char"/>
    <w:uiPriority w:val="99"/>
    <w:rPr>
      <w:lang w:eastAsia="zh-CN"/>
    </w:rPr>
  </w:style>
  <w:style w:type="character" w:customStyle="1" w:styleId="66">
    <w:name w:val="页眉 Char1"/>
    <w:qFormat/>
    <w:uiPriority w:val="0"/>
    <w:rPr>
      <w:rFonts w:ascii="Times New Roman" w:hAnsi="Times New Roman" w:eastAsia="宋体" w:cs="Times New Roman"/>
      <w:sz w:val="18"/>
      <w:szCs w:val="18"/>
    </w:rPr>
  </w:style>
  <w:style w:type="character" w:customStyle="1" w:styleId="67">
    <w:name w:val="批注框文本 Char2"/>
    <w:semiHidden/>
    <w:qFormat/>
    <w:uiPriority w:val="99"/>
    <w:rPr>
      <w:sz w:val="18"/>
      <w:szCs w:val="18"/>
    </w:rPr>
  </w:style>
  <w:style w:type="character" w:customStyle="1" w:styleId="68">
    <w:name w:val="正文文本 2 Char"/>
    <w:link w:val="69"/>
    <w:qFormat/>
    <w:uiPriority w:val="0"/>
    <w:rPr>
      <w:rFonts w:ascii="Times New Roman" w:hAnsi="Times New Roman" w:eastAsia="华文中宋" w:cs="Times New Roman"/>
      <w:sz w:val="28"/>
      <w:szCs w:val="24"/>
    </w:rPr>
  </w:style>
  <w:style w:type="paragraph" w:customStyle="1" w:styleId="69">
    <w:name w:val="正文文本 21"/>
    <w:basedOn w:val="1"/>
    <w:link w:val="68"/>
    <w:qFormat/>
    <w:uiPriority w:val="0"/>
    <w:pPr>
      <w:tabs>
        <w:tab w:val="left" w:pos="13860"/>
      </w:tabs>
      <w:spacing w:line="500" w:lineRule="exact"/>
    </w:pPr>
    <w:rPr>
      <w:rFonts w:eastAsia="华文中宋"/>
      <w:kern w:val="0"/>
      <w:sz w:val="28"/>
      <w:szCs w:val="24"/>
    </w:rPr>
  </w:style>
  <w:style w:type="character" w:customStyle="1" w:styleId="70">
    <w:name w:val="正文文本缩进 2 Char2"/>
    <w:basedOn w:val="36"/>
    <w:semiHidden/>
    <w:qFormat/>
    <w:uiPriority w:val="99"/>
  </w:style>
  <w:style w:type="character" w:customStyle="1" w:styleId="71">
    <w:name w:val="页码1"/>
    <w:basedOn w:val="36"/>
    <w:qFormat/>
    <w:uiPriority w:val="0"/>
  </w:style>
  <w:style w:type="character" w:customStyle="1" w:styleId="72">
    <w:name w:val="正文首行缩进 Char"/>
    <w:link w:val="73"/>
    <w:qFormat/>
    <w:uiPriority w:val="0"/>
    <w:rPr>
      <w:rFonts w:ascii="Times New Roman" w:hAnsi="Times New Roman" w:eastAsia="楷体_GB2312" w:cs="Times New Roman"/>
      <w:sz w:val="24"/>
      <w:szCs w:val="20"/>
    </w:rPr>
  </w:style>
  <w:style w:type="paragraph" w:customStyle="1" w:styleId="73">
    <w:name w:val="正文首行缩进1"/>
    <w:basedOn w:val="9"/>
    <w:link w:val="72"/>
    <w:qFormat/>
    <w:uiPriority w:val="0"/>
    <w:pPr>
      <w:ind w:firstLine="420"/>
    </w:pPr>
    <w:rPr>
      <w:rFonts w:eastAsia="楷体_GB2312"/>
      <w:kern w:val="0"/>
      <w:sz w:val="24"/>
      <w:szCs w:val="20"/>
    </w:rPr>
  </w:style>
  <w:style w:type="character" w:customStyle="1" w:styleId="74">
    <w:name w:val="脚注文本 Char2"/>
    <w:semiHidden/>
    <w:qFormat/>
    <w:uiPriority w:val="99"/>
    <w:rPr>
      <w:sz w:val="18"/>
      <w:szCs w:val="18"/>
    </w:rPr>
  </w:style>
  <w:style w:type="character" w:customStyle="1" w:styleId="75">
    <w:name w:val="content1"/>
    <w:qFormat/>
    <w:uiPriority w:val="0"/>
    <w:rPr>
      <w:spacing w:val="240"/>
      <w:sz w:val="21"/>
      <w:szCs w:val="21"/>
    </w:rPr>
  </w:style>
  <w:style w:type="character" w:customStyle="1" w:styleId="76">
    <w:name w:val="正文文本 Char"/>
    <w:qFormat/>
    <w:uiPriority w:val="0"/>
    <w:rPr>
      <w:rFonts w:ascii="Times New Roman" w:hAnsi="Times New Roman" w:eastAsia="宋体" w:cs="Times New Roman"/>
      <w:szCs w:val="24"/>
    </w:rPr>
  </w:style>
  <w:style w:type="character" w:customStyle="1" w:styleId="77">
    <w:name w:val="纯文本 Char2"/>
    <w:semiHidden/>
    <w:qFormat/>
    <w:uiPriority w:val="99"/>
    <w:rPr>
      <w:rFonts w:ascii="宋体" w:hAnsi="Courier New" w:eastAsia="宋体" w:cs="Courier New"/>
      <w:szCs w:val="21"/>
    </w:rPr>
  </w:style>
  <w:style w:type="character" w:customStyle="1" w:styleId="78">
    <w:name w:val="访问过的超链接1"/>
    <w:qFormat/>
    <w:uiPriority w:val="0"/>
    <w:rPr>
      <w:rFonts w:hint="default" w:ascii="Times New Roman"/>
      <w:color w:val="800080"/>
      <w:u w:val="single"/>
    </w:rPr>
  </w:style>
  <w:style w:type="character" w:customStyle="1" w:styleId="79">
    <w:name w:val="批注框文本 Char1"/>
    <w:qFormat/>
    <w:uiPriority w:val="0"/>
    <w:rPr>
      <w:rFonts w:ascii="Times New Roman" w:hAnsi="Times New Roman" w:eastAsia="宋体" w:cs="Times New Roman"/>
      <w:sz w:val="18"/>
      <w:szCs w:val="18"/>
    </w:rPr>
  </w:style>
  <w:style w:type="character" w:customStyle="1" w:styleId="80">
    <w:name w:val="正文文本缩进 Char"/>
    <w:link w:val="81"/>
    <w:qFormat/>
    <w:uiPriority w:val="0"/>
    <w:rPr>
      <w:rFonts w:ascii="Times New Roman" w:hAnsi="Times New Roman" w:eastAsia="宋体" w:cs="Times New Roman"/>
      <w:szCs w:val="24"/>
    </w:rPr>
  </w:style>
  <w:style w:type="paragraph" w:customStyle="1" w:styleId="81">
    <w:name w:val="正文文本缩进1"/>
    <w:basedOn w:val="1"/>
    <w:link w:val="80"/>
    <w:qFormat/>
    <w:uiPriority w:val="0"/>
    <w:pPr>
      <w:spacing w:after="120"/>
      <w:ind w:left="420" w:leftChars="200"/>
    </w:pPr>
    <w:rPr>
      <w:kern w:val="0"/>
      <w:sz w:val="20"/>
      <w:szCs w:val="24"/>
    </w:rPr>
  </w:style>
  <w:style w:type="character" w:customStyle="1" w:styleId="82">
    <w:name w:val="正文文本缩进 3 Char"/>
    <w:link w:val="83"/>
    <w:qFormat/>
    <w:uiPriority w:val="0"/>
    <w:rPr>
      <w:rFonts w:ascii="Times New Roman" w:hAnsi="Times New Roman" w:eastAsia="宋体" w:cs="Times New Roman"/>
      <w:sz w:val="18"/>
      <w:szCs w:val="24"/>
    </w:rPr>
  </w:style>
  <w:style w:type="paragraph" w:customStyle="1" w:styleId="83">
    <w:name w:val="正文文本缩进 31"/>
    <w:basedOn w:val="1"/>
    <w:link w:val="82"/>
    <w:qFormat/>
    <w:uiPriority w:val="0"/>
    <w:pPr>
      <w:spacing w:line="260" w:lineRule="exact"/>
      <w:ind w:firstLine="360"/>
    </w:pPr>
    <w:rPr>
      <w:kern w:val="0"/>
      <w:sz w:val="18"/>
      <w:szCs w:val="24"/>
    </w:rPr>
  </w:style>
  <w:style w:type="character" w:customStyle="1" w:styleId="84">
    <w:name w:val="正文文本 Char1"/>
    <w:qFormat/>
    <w:uiPriority w:val="0"/>
    <w:rPr>
      <w:rFonts w:ascii="Times New Roman"/>
      <w:sz w:val="24"/>
    </w:rPr>
  </w:style>
  <w:style w:type="character" w:customStyle="1" w:styleId="85">
    <w:name w:val="页眉 Char2"/>
    <w:semiHidden/>
    <w:qFormat/>
    <w:uiPriority w:val="99"/>
    <w:rPr>
      <w:sz w:val="18"/>
      <w:szCs w:val="18"/>
    </w:rPr>
  </w:style>
  <w:style w:type="character" w:customStyle="1" w:styleId="86">
    <w:name w:val="正文文本 Char2"/>
    <w:qFormat/>
    <w:uiPriority w:val="0"/>
    <w:rPr>
      <w:rFonts w:ascii="Times New Roman" w:hAnsi="Times New Roman" w:eastAsia="宋体" w:cs="Times New Roman"/>
      <w:szCs w:val="24"/>
    </w:rPr>
  </w:style>
  <w:style w:type="character" w:customStyle="1" w:styleId="87">
    <w:name w:val="Char Char4"/>
    <w:uiPriority w:val="0"/>
    <w:rPr>
      <w:rFonts w:eastAsia="仿宋_GB2312"/>
      <w:bCs/>
      <w:kern w:val="44"/>
      <w:sz w:val="18"/>
      <w:szCs w:val="18"/>
      <w:lang w:val="en-US" w:eastAsia="zh-CN" w:bidi="ar-SA"/>
    </w:rPr>
  </w:style>
  <w:style w:type="character" w:customStyle="1" w:styleId="88">
    <w:name w:val="批注主题 Char1"/>
    <w:semiHidden/>
    <w:qFormat/>
    <w:uiPriority w:val="99"/>
    <w:rPr>
      <w:rFonts w:ascii="Times New Roman" w:hAnsi="Times New Roman" w:eastAsia="宋体" w:cs="Times New Roman"/>
      <w:b/>
      <w:bCs/>
      <w:szCs w:val="20"/>
    </w:rPr>
  </w:style>
  <w:style w:type="character" w:customStyle="1" w:styleId="89">
    <w:name w:val="日期 Char2"/>
    <w:basedOn w:val="36"/>
    <w:semiHidden/>
    <w:qFormat/>
    <w:uiPriority w:val="99"/>
  </w:style>
  <w:style w:type="character" w:customStyle="1" w:styleId="90">
    <w:name w:val="页脚 Char1"/>
    <w:qFormat/>
    <w:uiPriority w:val="0"/>
    <w:rPr>
      <w:rFonts w:ascii="Times New Roman" w:hAnsi="Times New Roman" w:eastAsia="宋体" w:cs="Times New Roman"/>
      <w:sz w:val="18"/>
      <w:szCs w:val="18"/>
    </w:rPr>
  </w:style>
  <w:style w:type="character" w:customStyle="1" w:styleId="91">
    <w:name w:val="批注文字 Char1"/>
    <w:qFormat/>
    <w:uiPriority w:val="0"/>
    <w:rPr>
      <w:rFonts w:ascii="Times New Roman" w:hAnsi="Times New Roman" w:eastAsia="宋体" w:cs="Times New Roman"/>
      <w:szCs w:val="24"/>
    </w:rPr>
  </w:style>
  <w:style w:type="character" w:customStyle="1" w:styleId="92">
    <w:name w:val="正文文本缩进 3 Char2"/>
    <w:semiHidden/>
    <w:qFormat/>
    <w:uiPriority w:val="99"/>
    <w:rPr>
      <w:sz w:val="16"/>
      <w:szCs w:val="16"/>
    </w:rPr>
  </w:style>
  <w:style w:type="character" w:customStyle="1" w:styleId="93">
    <w:name w:val="页码2"/>
    <w:basedOn w:val="36"/>
    <w:qFormat/>
    <w:uiPriority w:val="0"/>
  </w:style>
  <w:style w:type="character" w:customStyle="1" w:styleId="94">
    <w:name w:val="apple-converted-space"/>
    <w:qFormat/>
    <w:uiPriority w:val="0"/>
  </w:style>
  <w:style w:type="character" w:customStyle="1" w:styleId="95">
    <w:name w:val="页脚 Char"/>
    <w:uiPriority w:val="99"/>
    <w:rPr>
      <w:lang w:eastAsia="zh-CN"/>
    </w:rPr>
  </w:style>
  <w:style w:type="character" w:customStyle="1" w:styleId="96">
    <w:name w:val="正文文本缩进 2 Char"/>
    <w:link w:val="97"/>
    <w:qFormat/>
    <w:uiPriority w:val="0"/>
    <w:rPr>
      <w:rFonts w:ascii="Times New Roman" w:hAnsi="Times New Roman" w:eastAsia="宋体" w:cs="Times New Roman"/>
      <w:szCs w:val="24"/>
    </w:rPr>
  </w:style>
  <w:style w:type="paragraph" w:customStyle="1" w:styleId="97">
    <w:name w:val="正文文本缩进 21"/>
    <w:basedOn w:val="1"/>
    <w:link w:val="96"/>
    <w:qFormat/>
    <w:uiPriority w:val="0"/>
    <w:pPr>
      <w:spacing w:after="120" w:line="480" w:lineRule="auto"/>
      <w:ind w:left="420" w:leftChars="200"/>
    </w:pPr>
    <w:rPr>
      <w:kern w:val="0"/>
      <w:sz w:val="20"/>
      <w:szCs w:val="24"/>
    </w:rPr>
  </w:style>
  <w:style w:type="character" w:customStyle="1" w:styleId="98">
    <w:name w:val="正文文本缩进 Char2"/>
    <w:basedOn w:val="36"/>
    <w:semiHidden/>
    <w:qFormat/>
    <w:uiPriority w:val="99"/>
  </w:style>
  <w:style w:type="character" w:customStyle="1" w:styleId="99">
    <w:name w:val="正文首行缩进 Char2"/>
    <w:basedOn w:val="48"/>
    <w:semiHidden/>
    <w:qFormat/>
    <w:uiPriority w:val="99"/>
  </w:style>
  <w:style w:type="character" w:customStyle="1" w:styleId="100">
    <w:name w:val="脚注文本 Char1"/>
    <w:qFormat/>
    <w:uiPriority w:val="0"/>
    <w:rPr>
      <w:rFonts w:ascii="Times New Roman" w:hAnsi="Times New Roman" w:eastAsia="宋体" w:cs="Times New Roman"/>
      <w:sz w:val="18"/>
      <w:szCs w:val="18"/>
    </w:rPr>
  </w:style>
  <w:style w:type="character" w:customStyle="1" w:styleId="101">
    <w:name w:val="日期 Char"/>
    <w:link w:val="102"/>
    <w:qFormat/>
    <w:uiPriority w:val="0"/>
    <w:rPr>
      <w:rFonts w:ascii="Times New Roman" w:hAnsi="Times New Roman" w:eastAsia="黑体" w:cs="Times New Roman"/>
      <w:sz w:val="24"/>
      <w:szCs w:val="20"/>
    </w:rPr>
  </w:style>
  <w:style w:type="paragraph" w:customStyle="1" w:styleId="102">
    <w:name w:val="日期1"/>
    <w:basedOn w:val="1"/>
    <w:next w:val="1"/>
    <w:link w:val="101"/>
    <w:qFormat/>
    <w:uiPriority w:val="0"/>
    <w:rPr>
      <w:rFonts w:eastAsia="黑体"/>
      <w:kern w:val="0"/>
      <w:sz w:val="24"/>
      <w:szCs w:val="20"/>
    </w:rPr>
  </w:style>
  <w:style w:type="character" w:customStyle="1" w:styleId="103">
    <w:name w:val="页脚 Char2"/>
    <w:semiHidden/>
    <w:qFormat/>
    <w:uiPriority w:val="99"/>
    <w:rPr>
      <w:sz w:val="18"/>
      <w:szCs w:val="18"/>
    </w:rPr>
  </w:style>
  <w:style w:type="character" w:customStyle="1" w:styleId="104">
    <w:name w:val="纯文本 Char"/>
    <w:link w:val="105"/>
    <w:qFormat/>
    <w:uiPriority w:val="0"/>
    <w:rPr>
      <w:rFonts w:ascii="宋体" w:hAnsi="Courier New" w:eastAsia="宋体" w:cs="Times New Roman"/>
      <w:szCs w:val="20"/>
    </w:rPr>
  </w:style>
  <w:style w:type="paragraph" w:customStyle="1" w:styleId="105">
    <w:name w:val="纯文本1"/>
    <w:basedOn w:val="1"/>
    <w:link w:val="104"/>
    <w:qFormat/>
    <w:uiPriority w:val="0"/>
    <w:rPr>
      <w:rFonts w:ascii="宋体" w:hAnsi="Courier New"/>
      <w:kern w:val="0"/>
      <w:sz w:val="20"/>
      <w:szCs w:val="20"/>
    </w:rPr>
  </w:style>
  <w:style w:type="character" w:customStyle="1" w:styleId="106">
    <w:name w:val="批注文字 Char2"/>
    <w:basedOn w:val="36"/>
    <w:semiHidden/>
    <w:qFormat/>
    <w:uiPriority w:val="99"/>
  </w:style>
  <w:style w:type="character" w:customStyle="1" w:styleId="107">
    <w:name w:val="HTML 预设格式 Char1"/>
    <w:semiHidden/>
    <w:qFormat/>
    <w:uiPriority w:val="99"/>
    <w:rPr>
      <w:rFonts w:ascii="Courier New" w:hAnsi="Courier New" w:cs="Courier New"/>
      <w:sz w:val="20"/>
      <w:szCs w:val="20"/>
    </w:rPr>
  </w:style>
  <w:style w:type="character" w:customStyle="1" w:styleId="108">
    <w:name w:val="访问过的超链接2"/>
    <w:qFormat/>
    <w:uiPriority w:val="0"/>
    <w:rPr>
      <w:rFonts w:hint="default" w:ascii="Times New Roman"/>
      <w:color w:val="800080"/>
      <w:u w:val="single"/>
    </w:rPr>
  </w:style>
  <w:style w:type="paragraph" w:customStyle="1" w:styleId="109">
    <w:name w:val="正文文本缩进 22"/>
    <w:basedOn w:val="1"/>
    <w:qFormat/>
    <w:uiPriority w:val="0"/>
    <w:pPr>
      <w:spacing w:after="120" w:line="480" w:lineRule="auto"/>
      <w:ind w:left="420" w:leftChars="200"/>
    </w:pPr>
    <w:rPr>
      <w:rFonts w:ascii="Times New Roman" w:hAnsi="Times New Roman" w:eastAsia="宋体" w:cs="Times New Roman"/>
      <w:kern w:val="0"/>
      <w:sz w:val="20"/>
      <w:szCs w:val="24"/>
    </w:rPr>
  </w:style>
  <w:style w:type="paragraph" w:customStyle="1" w:styleId="110">
    <w:name w:val="正文缩进21"/>
    <w:basedOn w:val="1"/>
    <w:qFormat/>
    <w:uiPriority w:val="0"/>
    <w:pPr>
      <w:ind w:firstLine="420" w:firstLineChars="200"/>
    </w:pPr>
    <w:rPr>
      <w:rFonts w:ascii="Times New Roman" w:hAnsi="Times New Roman" w:eastAsia="宋体" w:cs="Times New Roman"/>
      <w:szCs w:val="24"/>
    </w:rPr>
  </w:style>
  <w:style w:type="paragraph" w:customStyle="1" w:styleId="111">
    <w:name w:val="批注框文本1"/>
    <w:basedOn w:val="1"/>
    <w:qFormat/>
    <w:uiPriority w:val="0"/>
    <w:pPr>
      <w:autoSpaceDE w:val="0"/>
      <w:autoSpaceDN w:val="0"/>
      <w:jc w:val="left"/>
      <w:textAlignment w:val="baseline"/>
    </w:pPr>
    <w:rPr>
      <w:rFonts w:hint="eastAsia" w:ascii="宋体" w:hAnsi="Times New Roman" w:eastAsia="宋体" w:cs="Times New Roman"/>
      <w:sz w:val="18"/>
      <w:szCs w:val="24"/>
    </w:rPr>
  </w:style>
  <w:style w:type="paragraph" w:customStyle="1" w:styleId="112">
    <w:name w:val="Char Char1"/>
    <w:basedOn w:val="1"/>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paragraph" w:customStyle="1" w:styleId="113">
    <w:name w:val="xl24"/>
    <w:basedOn w:val="1"/>
    <w:qFormat/>
    <w:uiPriority w:val="0"/>
    <w:pPr>
      <w:widowControl/>
      <w:pBdr>
        <w:bottom w:val="single" w:color="auto" w:sz="12" w:space="0"/>
        <w:right w:val="single" w:color="auto" w:sz="4" w:space="0"/>
      </w:pBdr>
      <w:spacing w:before="100" w:beforeAutospacing="1" w:after="100" w:afterAutospacing="1"/>
      <w:textAlignment w:val="top"/>
    </w:pPr>
    <w:rPr>
      <w:rFonts w:ascii="Arial Unicode MS" w:hAnsi="Arial Unicode MS" w:eastAsia="Arial Unicode MS" w:cs="Times New Roman"/>
      <w:kern w:val="0"/>
      <w:sz w:val="18"/>
      <w:szCs w:val="18"/>
    </w:rPr>
  </w:style>
  <w:style w:type="paragraph" w:customStyle="1" w:styleId="114">
    <w:name w:val="Char2"/>
    <w:basedOn w:val="1"/>
    <w:qFormat/>
    <w:uiPriority w:val="0"/>
    <w:pPr>
      <w:widowControl/>
      <w:spacing w:after="160" w:line="240" w:lineRule="exact"/>
      <w:jc w:val="left"/>
    </w:pPr>
    <w:rPr>
      <w:rFonts w:hint="eastAsia" w:ascii="Verdana" w:hAnsi="Verdana" w:eastAsia="仿宋_GB2312" w:cs="Times New Roman"/>
      <w:sz w:val="24"/>
      <w:szCs w:val="24"/>
      <w:lang w:eastAsia="en-US"/>
    </w:rPr>
  </w:style>
  <w:style w:type="paragraph" w:customStyle="1" w:styleId="115">
    <w:name w:val="列表1"/>
    <w:basedOn w:val="1"/>
    <w:qFormat/>
    <w:uiPriority w:val="0"/>
    <w:pPr>
      <w:ind w:left="420" w:hanging="420"/>
    </w:pPr>
    <w:rPr>
      <w:rFonts w:hint="eastAsia" w:ascii="Times New Roman" w:hAnsi="Times New Roman" w:eastAsia="楷体_GB2312" w:cs="Times New Roman"/>
      <w:sz w:val="24"/>
      <w:szCs w:val="24"/>
    </w:rPr>
  </w:style>
  <w:style w:type="paragraph" w:customStyle="1" w:styleId="116">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18">
    <w:name w:val="p16"/>
    <w:basedOn w:val="1"/>
    <w:qFormat/>
    <w:uiPriority w:val="0"/>
    <w:pPr>
      <w:widowControl/>
      <w:spacing w:line="280" w:lineRule="atLeast"/>
      <w:ind w:firstLine="360"/>
    </w:pPr>
    <w:rPr>
      <w:rFonts w:ascii="Times New Roman" w:hAnsi="Times New Roman" w:eastAsia="宋体" w:cs="Times New Roman"/>
      <w:color w:val="000000"/>
      <w:kern w:val="0"/>
      <w:sz w:val="18"/>
      <w:szCs w:val="18"/>
    </w:rPr>
  </w:style>
  <w:style w:type="paragraph" w:customStyle="1" w:styleId="119">
    <w:name w:val="xl30"/>
    <w:basedOn w:val="1"/>
    <w:qFormat/>
    <w:uiPriority w:val="0"/>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paragraph" w:customStyle="1" w:styleId="120">
    <w:name w:val="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1">
    <w:name w:val="Char"/>
    <w:basedOn w:val="1"/>
    <w:qFormat/>
    <w:uiPriority w:val="0"/>
    <w:pPr>
      <w:widowControl/>
      <w:spacing w:after="160" w:line="240" w:lineRule="exact"/>
      <w:jc w:val="left"/>
    </w:pPr>
    <w:rPr>
      <w:rFonts w:hint="eastAsia" w:ascii="Verdana" w:hAnsi="Verdana" w:eastAsia="仿宋_GB2312" w:cs="Times New Roman"/>
      <w:sz w:val="24"/>
      <w:szCs w:val="24"/>
      <w:lang w:eastAsia="en-US"/>
    </w:rPr>
  </w:style>
  <w:style w:type="paragraph" w:customStyle="1" w:styleId="122">
    <w:name w:val="正文文本 22"/>
    <w:basedOn w:val="1"/>
    <w:qFormat/>
    <w:uiPriority w:val="0"/>
    <w:pPr>
      <w:tabs>
        <w:tab w:val="left" w:pos="13860"/>
      </w:tabs>
      <w:spacing w:line="500" w:lineRule="exact"/>
    </w:pPr>
    <w:rPr>
      <w:rFonts w:ascii="Times New Roman" w:hAnsi="Times New Roman" w:eastAsia="华文中宋" w:cs="Times New Roman"/>
      <w:kern w:val="0"/>
      <w:sz w:val="28"/>
      <w:szCs w:val="24"/>
    </w:rPr>
  </w:style>
  <w:style w:type="paragraph" w:customStyle="1" w:styleId="123">
    <w:name w:val="TOC 标题1"/>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124">
    <w:name w:val="TOC 标题2"/>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125">
    <w:name w:val="WPSOffice手动目录 3"/>
    <w:qFormat/>
    <w:uiPriority w:val="0"/>
    <w:pPr>
      <w:ind w:leftChars="400"/>
    </w:pPr>
    <w:rPr>
      <w:rFonts w:ascii="Times New Roman" w:hAnsi="Times New Roman" w:eastAsia="宋体" w:cs="Times New Roman"/>
      <w:lang w:val="en-US" w:eastAsia="zh-CN" w:bidi="ar-SA"/>
    </w:rPr>
  </w:style>
  <w:style w:type="paragraph" w:customStyle="1" w:styleId="126">
    <w:name w:val="修订1"/>
    <w:qFormat/>
    <w:uiPriority w:val="99"/>
    <w:rPr>
      <w:rFonts w:ascii="Times New Roman" w:hAnsi="Times New Roman" w:eastAsia="宋体" w:cs="Times New Roman"/>
      <w:kern w:val="2"/>
      <w:sz w:val="21"/>
      <w:szCs w:val="24"/>
      <w:lang w:val="en-US" w:eastAsia="zh-CN" w:bidi="ar-SA"/>
    </w:rPr>
  </w:style>
  <w:style w:type="paragraph" w:customStyle="1" w:styleId="127">
    <w:name w:val="正文缩进1"/>
    <w:basedOn w:val="1"/>
    <w:qFormat/>
    <w:uiPriority w:val="0"/>
    <w:pPr>
      <w:ind w:firstLine="420" w:firstLineChars="200"/>
    </w:pPr>
    <w:rPr>
      <w:rFonts w:ascii="Times New Roman" w:hAnsi="Times New Roman" w:eastAsia="宋体" w:cs="Times New Roman"/>
      <w:szCs w:val="24"/>
    </w:rPr>
  </w:style>
  <w:style w:type="paragraph" w:customStyle="1" w:styleId="128">
    <w:name w:val="p15"/>
    <w:basedOn w:val="1"/>
    <w:qFormat/>
    <w:uiPriority w:val="0"/>
    <w:pPr>
      <w:widowControl/>
      <w:spacing w:line="280" w:lineRule="atLeast"/>
      <w:ind w:firstLine="360"/>
    </w:pPr>
    <w:rPr>
      <w:rFonts w:ascii="Times New Roman" w:hAnsi="Times New Roman" w:eastAsia="宋体" w:cs="Times New Roman"/>
      <w:color w:val="FF0000"/>
      <w:kern w:val="0"/>
      <w:sz w:val="18"/>
      <w:szCs w:val="18"/>
    </w:rPr>
  </w:style>
  <w:style w:type="paragraph" w:customStyle="1" w:styleId="129">
    <w:name w:val="item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正文文本缩进2"/>
    <w:basedOn w:val="1"/>
    <w:qFormat/>
    <w:uiPriority w:val="0"/>
    <w:pPr>
      <w:spacing w:after="120"/>
      <w:ind w:left="420" w:leftChars="200"/>
    </w:pPr>
    <w:rPr>
      <w:rFonts w:ascii="Times New Roman" w:hAnsi="Times New Roman" w:eastAsia="宋体" w:cs="Times New Roman"/>
      <w:kern w:val="0"/>
      <w:sz w:val="20"/>
      <w:szCs w:val="24"/>
    </w:rPr>
  </w:style>
  <w:style w:type="paragraph" w:customStyle="1" w:styleId="131">
    <w:name w:val="批注框文本2"/>
    <w:basedOn w:val="1"/>
    <w:qFormat/>
    <w:uiPriority w:val="0"/>
    <w:pPr>
      <w:autoSpaceDE w:val="0"/>
      <w:autoSpaceDN w:val="0"/>
      <w:jc w:val="left"/>
      <w:textAlignment w:val="baseline"/>
    </w:pPr>
    <w:rPr>
      <w:rFonts w:hint="eastAsia" w:ascii="宋体" w:hAnsi="Times New Roman" w:eastAsia="宋体" w:cs="Times New Roman"/>
      <w:sz w:val="18"/>
      <w:szCs w:val="24"/>
    </w:rPr>
  </w:style>
  <w:style w:type="paragraph" w:customStyle="1" w:styleId="132">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3">
    <w:name w:val="局发文正文"/>
    <w:basedOn w:val="1"/>
    <w:qFormat/>
    <w:uiPriority w:val="0"/>
    <w:pPr>
      <w:adjustRightInd w:val="0"/>
      <w:spacing w:line="600" w:lineRule="atLeast"/>
      <w:ind w:firstLine="200" w:firstLineChars="200"/>
    </w:pPr>
    <w:rPr>
      <w:rFonts w:hint="eastAsia" w:ascii="仿宋_GB2312" w:hAnsi="Times New Roman" w:eastAsia="仿宋_GB2312" w:cs="Times New Roman"/>
      <w:caps/>
      <w:spacing w:val="6"/>
      <w:kern w:val="0"/>
      <w:sz w:val="30"/>
      <w:szCs w:val="20"/>
    </w:rPr>
  </w:style>
  <w:style w:type="paragraph" w:customStyle="1" w:styleId="13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5">
    <w:name w:val="WPSOffice手动目录 1"/>
    <w:qFormat/>
    <w:uiPriority w:val="0"/>
    <w:rPr>
      <w:rFonts w:ascii="Times New Roman" w:hAnsi="Times New Roman" w:eastAsia="宋体" w:cs="Times New Roman"/>
      <w:lang w:val="en-US" w:eastAsia="zh-CN" w:bidi="ar-SA"/>
    </w:rPr>
  </w:style>
  <w:style w:type="paragraph" w:customStyle="1" w:styleId="136">
    <w:name w:val="日期2"/>
    <w:basedOn w:val="1"/>
    <w:next w:val="1"/>
    <w:qFormat/>
    <w:uiPriority w:val="0"/>
    <w:rPr>
      <w:rFonts w:ascii="Times New Roman" w:hAnsi="Times New Roman" w:eastAsia="黑体" w:cs="Times New Roman"/>
      <w:kern w:val="0"/>
      <w:sz w:val="24"/>
      <w:szCs w:val="20"/>
    </w:rPr>
  </w:style>
  <w:style w:type="paragraph" w:customStyle="1" w:styleId="137">
    <w:name w:val="Char Char Char Char Char Char Char Char 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38">
    <w:name w:val="列表2"/>
    <w:basedOn w:val="1"/>
    <w:qFormat/>
    <w:uiPriority w:val="0"/>
    <w:pPr>
      <w:ind w:left="420" w:hanging="420"/>
    </w:pPr>
    <w:rPr>
      <w:rFonts w:hint="eastAsia" w:ascii="Times New Roman" w:hAnsi="Times New Roman" w:eastAsia="楷体_GB2312" w:cs="Times New Roman"/>
      <w:sz w:val="24"/>
      <w:szCs w:val="24"/>
    </w:rPr>
  </w:style>
  <w:style w:type="paragraph" w:customStyle="1" w:styleId="139">
    <w:name w:val="Table Paragraph"/>
    <w:basedOn w:val="1"/>
    <w:qFormat/>
    <w:uiPriority w:val="0"/>
    <w:pPr>
      <w:autoSpaceDE w:val="0"/>
      <w:autoSpaceDN w:val="0"/>
      <w:adjustRightInd w:val="0"/>
      <w:jc w:val="left"/>
    </w:pPr>
    <w:rPr>
      <w:kern w:val="0"/>
      <w:sz w:val="24"/>
    </w:rPr>
  </w:style>
  <w:style w:type="paragraph" w:customStyle="1" w:styleId="140">
    <w:name w:val="正文文本缩进 32"/>
    <w:basedOn w:val="1"/>
    <w:qFormat/>
    <w:uiPriority w:val="0"/>
    <w:pPr>
      <w:spacing w:line="260" w:lineRule="exact"/>
      <w:ind w:firstLine="360"/>
    </w:pPr>
    <w:rPr>
      <w:rFonts w:ascii="Times New Roman" w:hAnsi="Times New Roman" w:eastAsia="宋体" w:cs="Times New Roman"/>
      <w:kern w:val="0"/>
      <w:sz w:val="18"/>
      <w:szCs w:val="24"/>
    </w:rPr>
  </w:style>
  <w:style w:type="paragraph" w:customStyle="1" w:styleId="141">
    <w:name w:val="正文缩进2"/>
    <w:basedOn w:val="1"/>
    <w:qFormat/>
    <w:uiPriority w:val="0"/>
    <w:pPr>
      <w:ind w:firstLine="420" w:firstLineChars="200"/>
    </w:pPr>
    <w:rPr>
      <w:rFonts w:ascii="Times New Roman" w:hAnsi="Times New Roman" w:eastAsia="宋体" w:cs="Times New Roman"/>
      <w:szCs w:val="24"/>
    </w:rPr>
  </w:style>
  <w:style w:type="paragraph" w:customStyle="1" w:styleId="142">
    <w:name w:val="纯文本2"/>
    <w:basedOn w:val="1"/>
    <w:qFormat/>
    <w:uiPriority w:val="0"/>
    <w:rPr>
      <w:rFonts w:ascii="宋体" w:hAnsi="Courier New" w:eastAsia="宋体" w:cs="Times New Roman"/>
      <w:kern w:val="0"/>
      <w:sz w:val="20"/>
      <w:szCs w:val="20"/>
    </w:rPr>
  </w:style>
  <w:style w:type="paragraph" w:customStyle="1" w:styleId="143">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44">
    <w:name w:val="文档结构图2"/>
    <w:basedOn w:val="1"/>
    <w:qFormat/>
    <w:uiPriority w:val="0"/>
    <w:rPr>
      <w:rFonts w:ascii="宋体" w:hAnsi="Times New Roman" w:eastAsia="宋体" w:cs="Times New Roman"/>
      <w:kern w:val="0"/>
      <w:sz w:val="18"/>
      <w:szCs w:val="18"/>
    </w:rPr>
  </w:style>
  <w:style w:type="paragraph" w:customStyle="1" w:styleId="145">
    <w:name w:val="正文首行缩进2"/>
    <w:basedOn w:val="9"/>
    <w:qFormat/>
    <w:uiPriority w:val="0"/>
    <w:pPr>
      <w:ind w:firstLine="420"/>
    </w:pPr>
    <w:rPr>
      <w:rFonts w:ascii="Times New Roman" w:hAnsi="Times New Roman" w:eastAsia="楷体_GB2312" w:cs="Times New Roman"/>
      <w:kern w:val="0"/>
      <w:sz w:val="24"/>
      <w:szCs w:val="20"/>
    </w:rPr>
  </w:style>
  <w:style w:type="paragraph" w:customStyle="1" w:styleId="146">
    <w:name w:val="p0"/>
    <w:basedOn w:val="1"/>
    <w:qFormat/>
    <w:uiPriority w:val="0"/>
    <w:pPr>
      <w:widowControl/>
    </w:pPr>
    <w:rPr>
      <w:rFonts w:ascii="Times New Roman" w:hAnsi="Times New Roman" w:eastAsia="宋体" w:cs="Times New Roman"/>
      <w:kern w:val="0"/>
      <w:szCs w:val="21"/>
    </w:rPr>
  </w:style>
  <w:style w:type="paragraph" w:customStyle="1" w:styleId="147">
    <w:name w:val="TOC 标题21"/>
    <w:basedOn w:val="2"/>
    <w:next w:val="1"/>
    <w:qFormat/>
    <w:uiPriority w:val="0"/>
    <w:pPr>
      <w:keepNext/>
      <w:keepLines/>
      <w:widowControl/>
      <w:spacing w:before="480" w:line="276" w:lineRule="auto"/>
      <w:jc w:val="left"/>
      <w:outlineLvl w:val="9"/>
    </w:pPr>
    <w:rPr>
      <w:rFonts w:ascii="Cambria" w:hAnsi="Cambria" w:eastAsia="黑体"/>
      <w:bCs/>
      <w:color w:val="365F91"/>
      <w:kern w:val="0"/>
      <w:sz w:val="28"/>
      <w:szCs w:val="28"/>
    </w:rPr>
  </w:style>
  <w:style w:type="paragraph" w:customStyle="1" w:styleId="148">
    <w:name w:val="_Style 9"/>
    <w:basedOn w:val="1"/>
    <w:qFormat/>
    <w:uiPriority w:val="0"/>
    <w:pPr>
      <w:numPr>
        <w:ilvl w:val="0"/>
        <w:numId w:val="2"/>
      </w:numPr>
    </w:pPr>
    <w:rPr>
      <w:rFonts w:ascii="Times New Roman" w:hAnsi="Times New Roman" w:eastAsia="宋体" w:cs="Times New Roman"/>
      <w:szCs w:val="24"/>
    </w:rPr>
  </w:style>
  <w:style w:type="paragraph" w:customStyle="1" w:styleId="149">
    <w:name w:val="仿宋"/>
    <w:basedOn w:val="1"/>
    <w:next w:val="1"/>
    <w:qFormat/>
    <w:uiPriority w:val="0"/>
    <w:pPr>
      <w:spacing w:line="360" w:lineRule="auto"/>
      <w:ind w:firstLine="200" w:firstLineChars="200"/>
    </w:pPr>
    <w:rPr>
      <w:rFonts w:ascii="仿宋_GB2312" w:hAnsi="Tahoma" w:eastAsia="仿宋_GB2312" w:cs="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23151</Words>
  <Characters>24702</Characters>
  <Lines>792</Lines>
  <Paragraphs>223</Paragraphs>
  <TotalTime>51</TotalTime>
  <ScaleCrop>false</ScaleCrop>
  <LinksUpToDate>false</LinksUpToDate>
  <CharactersWithSpaces>25229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2018-12-12T17:52:00Z</dcterms:created>
  <dc:creator>Chenglh</dc:creator>
  <cp:lastModifiedBy>Administrator</cp:lastModifiedBy>
  <cp:lastPrinted>2024-12-23T01:45:00Z</cp:lastPrinted>
  <dcterms:modified xsi:type="dcterms:W3CDTF">2025-04-17T08:02:21Z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B4A2B07EF7E0442BB5A1E06AF9EAF197_13</vt:lpwstr>
  </property>
  <property fmtid="{D5CDD505-2E9C-101B-9397-08002B2CF9AE}" pid="4" name="KSOTemplateDocerSaveRecord">
    <vt:lpwstr>eyJoZGlkIjoiNDc0OTU1YWQ0YmIwMDQ4N2VjNTE4ODQ5MzkyNjQ0ODYifQ==</vt:lpwstr>
  </property>
</Properties>
</file>