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文星标宋" w:hAnsi="文星标宋" w:eastAsia="文星标宋" w:cs="文星标宋"/>
          <w:b w:val="0"/>
          <w:bCs w:val="0"/>
          <w:color w:val="auto"/>
          <w:sz w:val="36"/>
          <w:szCs w:val="36"/>
          <w:lang w:val="en-US" w:eastAsia="zh-CN"/>
        </w:rPr>
      </w:pPr>
      <w:bookmarkStart w:id="0" w:name="_GoBack"/>
      <w:bookmarkEnd w:id="0"/>
      <w:r>
        <w:rPr>
          <w:rFonts w:hint="eastAsia" w:ascii="文星标宋" w:hAnsi="文星标宋" w:eastAsia="文星标宋" w:cs="文星标宋"/>
          <w:b w:val="0"/>
          <w:bCs w:val="0"/>
          <w:color w:val="auto"/>
          <w:sz w:val="36"/>
          <w:szCs w:val="36"/>
          <w:lang w:val="en-US" w:eastAsia="zh-CN"/>
        </w:rPr>
        <w:t>“武创源”颠覆性技术创新大赛获奖项目奖励资金明细</w:t>
      </w:r>
    </w:p>
    <w:tbl>
      <w:tblPr>
        <w:tblStyle w:val="7"/>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976"/>
        <w:gridCol w:w="1791"/>
        <w:gridCol w:w="1243"/>
        <w:gridCol w:w="1422"/>
        <w:gridCol w:w="1303"/>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黑体" w:hAnsi="文星黑体" w:eastAsia="文星黑体" w:cs="文星黑体"/>
                <w:i w:val="0"/>
                <w:iCs w:val="0"/>
                <w:color w:val="000000" w:themeColor="text1"/>
                <w:sz w:val="20"/>
                <w:szCs w:val="20"/>
                <w:highlight w:val="none"/>
                <w:u w:val="none"/>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序号</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黑体" w:hAnsi="文星黑体" w:eastAsia="文星黑体" w:cs="文星黑体"/>
                <w:i w:val="0"/>
                <w:iCs w:val="0"/>
                <w:color w:val="000000" w:themeColor="text1"/>
                <w:sz w:val="20"/>
                <w:szCs w:val="20"/>
                <w:highlight w:val="none"/>
                <w:u w:val="none"/>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项目名称</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黑体" w:hAnsi="文星黑体" w:eastAsia="文星黑体" w:cs="文星黑体"/>
                <w:i w:val="0"/>
                <w:iCs w:val="0"/>
                <w:color w:val="000000" w:themeColor="text1"/>
                <w:sz w:val="20"/>
                <w:szCs w:val="20"/>
                <w:highlight w:val="none"/>
                <w:u w:val="none"/>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依托单位</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黑体" w:hAnsi="文星黑体" w:eastAsia="文星黑体" w:cs="文星黑体"/>
                <w:i w:val="0"/>
                <w:iCs w:val="0"/>
                <w:color w:val="000000" w:themeColor="text1"/>
                <w:sz w:val="20"/>
                <w:szCs w:val="20"/>
                <w:highlight w:val="none"/>
                <w:u w:val="none"/>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拟奖励资金（万元）</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第一批奖励资金（万元）</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第二批奖励资金（万元）</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第三批奖励资金（万元）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纤维表面高密度电极共形喷印技术与装备</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100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高阻特高磁导率微波吸收材料</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武汉心电科技有限公司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航空航天高性能薄壁高筋构件多自由度包络成形制造技术</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武汉理工大学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80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连续碳纤维复合材料可重构嵌入式增材制造技术与装备</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华中科技大学、武汉数字化设计与制造创新中心有限公司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有机薄膜电喷雾装备研发与应用</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武汉芯力科技术有限公司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楚图穹芯 — 国产图计算加速器芯片</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7</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机器人球形关节电机</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60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8</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大型永磁电机原位整体充退磁一体化技术</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9</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大功率碳化硅沟槽器件关键技术</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湖北九峰山实验室</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sz w:val="20"/>
                <w:szCs w:val="20"/>
                <w:highlight w:val="none"/>
                <w:u w:val="none"/>
                <w:lang w:val="en-US"/>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10</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MRAM存储芯片用晶圆级超室温二维范德华铁磁量子薄膜及其二维磁隧穿结</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武汉华喻量芯微电子科技有限公司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sz w:val="20"/>
                <w:szCs w:val="20"/>
                <w:highlight w:val="none"/>
                <w:u w:val="none"/>
                <w:lang w:val="en-US"/>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11</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基于深度学习和自动微分的光学自动化设计软件</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sz w:val="20"/>
                <w:szCs w:val="20"/>
                <w:highlight w:val="none"/>
                <w:u w:val="none"/>
                <w:lang w:val="en-US"/>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12</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旗舰性能，平民价格—单片集成技术让高端红外芯片助力AI视觉</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武汉英睿红外科技有限公司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13</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高性价比下一代硅基电光薄膜晶圆及高速调制器产业化技术</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14</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国内首个人脊髓神经细胞治疗脊髓损伤的干细胞疗法</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武汉泓宸创新生物科技有限公司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15</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超声断层成像技术与应用</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华中科技大学</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16</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智能光片高内涵细胞成像仪</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武汉慧观生物科技有限公司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17</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基于通用型血液养护的离断肢体再植支持系统</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武汉大学中南医院</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18</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创新肿瘤精准定位系统</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武汉碘亮生物科技有限公司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19</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新型黄斑扣带植入物及手术导航系统</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方视九明（湖北省）医疗科技有限公司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疾控病原谱MNP监测技术体系</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武汉众为基因科技有限公司</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文星仿宋" w:hAnsi="文星仿宋" w:eastAsia="文星仿宋" w:cs="文星仿宋"/>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25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黑体" w:hAnsi="文星黑体" w:eastAsia="文星黑体" w:cs="文星黑体"/>
                <w:i w:val="0"/>
                <w:iCs w:val="0"/>
                <w:color w:val="000000" w:themeColor="text1"/>
                <w:kern w:val="0"/>
                <w:sz w:val="20"/>
                <w:szCs w:val="20"/>
                <w:highlight w:val="none"/>
                <w:u w:val="none"/>
                <w:lang w:val="en-US" w:eastAsia="zh-CN" w:bidi="ar"/>
                <w14:textFill>
                  <w14:solidFill>
                    <w14:schemeClr w14:val="tx1"/>
                  </w14:solidFill>
                </w14:textFill>
              </w:rPr>
              <w:t>合计</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1130</w:t>
            </w:r>
          </w:p>
        </w:tc>
        <w:tc>
          <w:tcPr>
            <w:tcW w:w="73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400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文星仿宋" w:hAnsi="文星仿宋" w:eastAsia="文星仿宋" w:cs="文星仿宋"/>
                <w:i w:val="0"/>
                <w:iCs w:val="0"/>
                <w:color w:val="000000" w:themeColor="text1"/>
                <w:kern w:val="0"/>
                <w:sz w:val="20"/>
                <w:szCs w:val="20"/>
                <w:highlight w:val="none"/>
                <w:u w:val="none"/>
                <w:lang w:val="en-US" w:eastAsia="zh-CN" w:bidi="ar"/>
                <w14:textFill>
                  <w14:solidFill>
                    <w14:schemeClr w14:val="tx1"/>
                  </w14:solidFill>
                </w14:textFill>
              </w:rPr>
              <w:t>290</w:t>
            </w:r>
          </w:p>
        </w:tc>
        <w:tc>
          <w:tcPr>
            <w:tcW w:w="7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文星仿宋" w:hAnsi="文星仿宋" w:eastAsia="文星仿宋" w:cs="文星仿宋"/>
                <w:i w:val="0"/>
                <w:iCs w:val="0"/>
                <w:color w:val="000000" w:themeColor="text1"/>
                <w:sz w:val="20"/>
                <w:szCs w:val="20"/>
                <w:highlight w:val="none"/>
                <w:u w:val="none"/>
                <w:lang w:val="en-US" w:eastAsia="zh-CN"/>
                <w14:textFill>
                  <w14:solidFill>
                    <w14:schemeClr w14:val="tx1"/>
                  </w14:solidFill>
                </w14:textFill>
              </w:rPr>
            </w:pPr>
            <w:r>
              <w:rPr>
                <w:rFonts w:hint="eastAsia" w:ascii="文星仿宋" w:hAnsi="文星仿宋" w:eastAsia="文星仿宋" w:cs="文星仿宋"/>
                <w:i w:val="0"/>
                <w:iCs w:val="0"/>
                <w:color w:val="000000" w:themeColor="text1"/>
                <w:sz w:val="20"/>
                <w:szCs w:val="20"/>
                <w:highlight w:val="none"/>
                <w:u w:val="none"/>
                <w:lang w:val="en-US" w:eastAsia="zh-CN"/>
                <w14:textFill>
                  <w14:solidFill>
                    <w14:schemeClr w14:val="tx1"/>
                  </w14:solidFill>
                </w14:textFill>
              </w:rPr>
              <w:t>440</w:t>
            </w:r>
          </w:p>
        </w:tc>
      </w:tr>
    </w:tbl>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文星仿宋" w:hAnsi="文星仿宋" w:eastAsia="文星仿宋" w:cs="文星仿宋"/>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文星仿宋" w:hAnsi="文星仿宋" w:eastAsia="文星仿宋" w:cs="文星仿宋"/>
          <w:color w:val="000000" w:themeColor="text1"/>
          <w:sz w:val="24"/>
          <w:szCs w:val="24"/>
          <w:highlight w:val="none"/>
          <w:lang w:val="en-US" w:eastAsia="zh-CN"/>
          <w14:textFill>
            <w14:solidFill>
              <w14:schemeClr w14:val="tx1"/>
            </w14:solidFill>
          </w14:textFill>
        </w:rPr>
      </w:pPr>
      <w:r>
        <w:rPr>
          <w:rFonts w:hint="eastAsia" w:ascii="文星仿宋" w:hAnsi="文星仿宋" w:eastAsia="文星仿宋" w:cs="文星仿宋"/>
          <w:color w:val="000000" w:themeColor="text1"/>
          <w:sz w:val="24"/>
          <w:szCs w:val="24"/>
          <w:highlight w:val="none"/>
          <w:lang w:val="en-US" w:eastAsia="zh-CN"/>
          <w14:textFill>
            <w14:solidFill>
              <w14:schemeClr w14:val="tx1"/>
            </w14:solidFill>
          </w14:textFill>
        </w:rPr>
        <w:t>说明：第一批奖励资金400万元，拨付至项目依托单位；第二批奖励资金290万元，拨付至项目运营公司（已成立）；第三批奖励资金440万元，待项目在规定时间内成立项目运营公司并开展运营后，拨付至项目运营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sectPr>
      <w:footerReference r:id="rId3" w:type="default"/>
      <w:type w:val="continuous"/>
      <w:pgSz w:w="11906" w:h="16838"/>
      <w:pgMar w:top="1701" w:right="1134" w:bottom="1417" w:left="1134" w:header="1701" w:footer="1191" w:gutter="0"/>
      <w:pgNumType w:fmt="numberInDash" w:start="2"/>
      <w:cols w:space="0" w:num="1"/>
      <w:rtlGutter w:val="0"/>
      <w:docGrid w:type="linesAndChars" w:linePitch="597" w:charSpace="51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文星仿宋">
    <w:panose1 w:val="0201060900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星黑体">
    <w:panose1 w:val="02010604000101010101"/>
    <w:charset w:val="86"/>
    <w:family w:val="auto"/>
    <w:pitch w:val="default"/>
    <w:sig w:usb0="00000001"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NTE0ZGM4NTFhZmM4MTkzMThhYTEwNzRmOGU5YTYifQ=="/>
  </w:docVars>
  <w:rsids>
    <w:rsidRoot w:val="40942CB6"/>
    <w:rsid w:val="01453A14"/>
    <w:rsid w:val="0F8F1045"/>
    <w:rsid w:val="11F602A0"/>
    <w:rsid w:val="16FA2753"/>
    <w:rsid w:val="18A20665"/>
    <w:rsid w:val="193C265E"/>
    <w:rsid w:val="1A3970A7"/>
    <w:rsid w:val="1B291126"/>
    <w:rsid w:val="1BE768DB"/>
    <w:rsid w:val="1FFFCB5E"/>
    <w:rsid w:val="208A2D9A"/>
    <w:rsid w:val="25585952"/>
    <w:rsid w:val="25647557"/>
    <w:rsid w:val="2EAE5EA6"/>
    <w:rsid w:val="2FBBD709"/>
    <w:rsid w:val="37180CA8"/>
    <w:rsid w:val="39602492"/>
    <w:rsid w:val="3F0652EA"/>
    <w:rsid w:val="40864ED4"/>
    <w:rsid w:val="40942CB6"/>
    <w:rsid w:val="422D2137"/>
    <w:rsid w:val="44046EB0"/>
    <w:rsid w:val="442A3E90"/>
    <w:rsid w:val="46DF0E9A"/>
    <w:rsid w:val="492A385B"/>
    <w:rsid w:val="494B0CE6"/>
    <w:rsid w:val="4AF56EDE"/>
    <w:rsid w:val="4BED4684"/>
    <w:rsid w:val="57730905"/>
    <w:rsid w:val="5CCB4CA9"/>
    <w:rsid w:val="5CE40B61"/>
    <w:rsid w:val="5E1B7F5C"/>
    <w:rsid w:val="5E331DA0"/>
    <w:rsid w:val="62C13751"/>
    <w:rsid w:val="6B326D6B"/>
    <w:rsid w:val="6F40431D"/>
    <w:rsid w:val="73007199"/>
    <w:rsid w:val="750766B3"/>
    <w:rsid w:val="760A7538"/>
    <w:rsid w:val="789E3E62"/>
    <w:rsid w:val="7A414410"/>
    <w:rsid w:val="7ECF3E19"/>
    <w:rsid w:val="7F171362"/>
    <w:rsid w:val="BF6EBBA1"/>
    <w:rsid w:val="DFEA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2">
    <w:name w:val="heading 5"/>
    <w:basedOn w:val="1"/>
    <w:next w:val="1"/>
    <w:unhideWhenUsed/>
    <w:qFormat/>
    <w:uiPriority w:val="0"/>
    <w:pPr>
      <w:keepNext/>
      <w:keepLines/>
      <w:widowControl w:val="0"/>
      <w:spacing w:line="600" w:lineRule="exact"/>
      <w:ind w:firstLine="880"/>
      <w:jc w:val="both"/>
      <w:outlineLvl w:val="4"/>
    </w:pPr>
    <w:rPr>
      <w:rFonts w:ascii="Calibri" w:hAnsi="Calibri" w:eastAsia="方正黑体_GBK" w:cs="Times New Roman"/>
      <w:bCs/>
      <w:kern w:val="2"/>
      <w:sz w:val="21"/>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1226</Words>
  <Characters>1383</Characters>
  <Lines>0</Lines>
  <Paragraphs>0</Paragraphs>
  <TotalTime>17</TotalTime>
  <ScaleCrop>false</ScaleCrop>
  <LinksUpToDate>false</LinksUpToDate>
  <CharactersWithSpaces>1385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2025-11-06T10:13:00Z</dcterms:created>
  <dc:creator>那年冬天风在吹</dc:creator>
  <cp:lastModifiedBy>user</cp:lastModifiedBy>
  <cp:lastPrinted>2025-11-07T11:57:00Z</cp:lastPrinted>
  <dcterms:modified xsi:type="dcterms:W3CDTF">2025-11-06T17:05:41Z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5F5B160055B94AA183BC0D49C37D7A70_13</vt:lpwstr>
  </property>
  <property fmtid="{D5CDD505-2E9C-101B-9397-08002B2CF9AE}" pid="4" name="KSOTemplateDocerSaveRecord">
    <vt:lpwstr>eyJoZGlkIjoiYmQzM2ViMzcxNzFkZjVkNjRkYTlmNThhODFlZjJiMjEiLCJ1c2VySWQiOiI3MzkwMTM4NjIifQ==</vt:lpwstr>
  </property>
</Properties>
</file>