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7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36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44"/>
          <w:lang w:val="en-US" w:eastAsia="zh-CN"/>
        </w:rPr>
        <w:t>4个软科学研究项目尾款拨付一览表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06"/>
        <w:gridCol w:w="5812"/>
        <w:gridCol w:w="3839"/>
        <w:gridCol w:w="1469"/>
      </w:tblGrid>
      <w:tr w14:paraId="7F6F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0C1A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06" w:type="dxa"/>
            <w:vAlign w:val="center"/>
          </w:tcPr>
          <w:p w14:paraId="016CE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812" w:type="dxa"/>
            <w:vAlign w:val="center"/>
          </w:tcPr>
          <w:p w14:paraId="0EE65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39" w:type="dxa"/>
            <w:vAlign w:val="center"/>
          </w:tcPr>
          <w:p w14:paraId="0908F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469" w:type="dxa"/>
            <w:vAlign w:val="center"/>
          </w:tcPr>
          <w:p w14:paraId="74D29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尾款金额（万元）</w:t>
            </w:r>
          </w:p>
        </w:tc>
      </w:tr>
      <w:tr w14:paraId="6E84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Align w:val="center"/>
          </w:tcPr>
          <w:p w14:paraId="17248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58E6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2024091106020840</w:t>
            </w:r>
          </w:p>
        </w:tc>
        <w:tc>
          <w:tcPr>
            <w:tcW w:w="5812" w:type="dxa"/>
            <w:vAlign w:val="center"/>
          </w:tcPr>
          <w:p w14:paraId="114EC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武汉市科技金融生态系统的评估比较与迭代升级研究</w:t>
            </w:r>
          </w:p>
        </w:tc>
        <w:tc>
          <w:tcPr>
            <w:tcW w:w="3839" w:type="dxa"/>
            <w:vAlign w:val="center"/>
          </w:tcPr>
          <w:p w14:paraId="12CA3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武汉理工大学</w:t>
            </w:r>
          </w:p>
        </w:tc>
        <w:tc>
          <w:tcPr>
            <w:tcW w:w="1469" w:type="dxa"/>
            <w:vAlign w:val="center"/>
          </w:tcPr>
          <w:p w14:paraId="6A57A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7.5</w:t>
            </w:r>
          </w:p>
        </w:tc>
      </w:tr>
      <w:tr w14:paraId="758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Align w:val="center"/>
          </w:tcPr>
          <w:p w14:paraId="7BC33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CDB0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2025120506020031</w:t>
            </w:r>
          </w:p>
        </w:tc>
        <w:tc>
          <w:tcPr>
            <w:tcW w:w="5812" w:type="dxa"/>
            <w:vAlign w:val="center"/>
          </w:tcPr>
          <w:p w14:paraId="41397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武汉市滨江数创大走廊建设研究</w:t>
            </w:r>
          </w:p>
        </w:tc>
        <w:tc>
          <w:tcPr>
            <w:tcW w:w="3839" w:type="dxa"/>
            <w:vAlign w:val="center"/>
          </w:tcPr>
          <w:p w14:paraId="6D836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武汉市规划研究院</w:t>
            </w:r>
          </w:p>
        </w:tc>
        <w:tc>
          <w:tcPr>
            <w:tcW w:w="1469" w:type="dxa"/>
            <w:vAlign w:val="center"/>
          </w:tcPr>
          <w:p w14:paraId="7A9AA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</w:tr>
      <w:tr w14:paraId="5B1D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Align w:val="center"/>
          </w:tcPr>
          <w:p w14:paraId="7F4D6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25A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2025120506020032</w:t>
            </w:r>
          </w:p>
        </w:tc>
        <w:tc>
          <w:tcPr>
            <w:tcW w:w="5812" w:type="dxa"/>
            <w:vAlign w:val="center"/>
          </w:tcPr>
          <w:p w14:paraId="45DC1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推动科技创新和产业创新融合发展</w:t>
            </w:r>
          </w:p>
        </w:tc>
        <w:tc>
          <w:tcPr>
            <w:tcW w:w="3839" w:type="dxa"/>
            <w:vAlign w:val="center"/>
          </w:tcPr>
          <w:p w14:paraId="1FEC4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武汉发展战略研究院</w:t>
            </w:r>
          </w:p>
        </w:tc>
        <w:tc>
          <w:tcPr>
            <w:tcW w:w="1469" w:type="dxa"/>
            <w:vAlign w:val="center"/>
          </w:tcPr>
          <w:p w14:paraId="43FA2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1CB9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Align w:val="center"/>
          </w:tcPr>
          <w:p w14:paraId="2BC00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F52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2025120506020033</w:t>
            </w:r>
          </w:p>
        </w:tc>
        <w:tc>
          <w:tcPr>
            <w:tcW w:w="5812" w:type="dxa"/>
            <w:vAlign w:val="center"/>
          </w:tcPr>
          <w:p w14:paraId="56E36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武汉市环大学创新发展带建设研究</w:t>
            </w:r>
          </w:p>
        </w:tc>
        <w:tc>
          <w:tcPr>
            <w:tcW w:w="3839" w:type="dxa"/>
            <w:vAlign w:val="center"/>
          </w:tcPr>
          <w:p w14:paraId="0B071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469" w:type="dxa"/>
            <w:vAlign w:val="center"/>
          </w:tcPr>
          <w:p w14:paraId="409B4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12D2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5" w:type="dxa"/>
            <w:gridSpan w:val="4"/>
            <w:vAlign w:val="center"/>
          </w:tcPr>
          <w:p w14:paraId="5B693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69" w:type="dxa"/>
            <w:vAlign w:val="center"/>
          </w:tcPr>
          <w:p w14:paraId="0DF10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51.5</w:t>
            </w:r>
          </w:p>
        </w:tc>
      </w:tr>
    </w:tbl>
    <w:p w14:paraId="594ADF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5757"/>
    <w:rsid w:val="07CA0884"/>
    <w:rsid w:val="21B6105F"/>
    <w:rsid w:val="49922483"/>
    <w:rsid w:val="49BF864F"/>
    <w:rsid w:val="5DD1638B"/>
    <w:rsid w:val="6F7FC058"/>
    <w:rsid w:val="71EE3D67"/>
    <w:rsid w:val="786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360" w:lineRule="auto"/>
      <w:jc w:val="center"/>
    </w:pPr>
    <w:rPr>
      <w:rFonts w:hint="default" w:eastAsia="文星标宋" w:asciiTheme="minorAscii" w:hAnsiTheme="minorAscii"/>
      <w:sz w:val="44"/>
    </w:rPr>
  </w:style>
  <w:style w:type="paragraph" w:customStyle="1" w:styleId="6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both"/>
    </w:pPr>
    <w:rPr>
      <w:rFonts w:hint="eastAsia" w:ascii="文星仿宋" w:hAnsi="文星仿宋" w:eastAsia="文星仿宋" w:cs="文星仿宋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252</Characters>
  <Lines>0</Lines>
  <Paragraphs>0</Paragraphs>
  <TotalTime>0</TotalTime>
  <ScaleCrop>false</ScaleCrop>
  <LinksUpToDate>false</LinksUpToDate>
  <CharactersWithSpaces>252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2025-06-26T17:19:00Z</dcterms:created>
  <dc:creator>雅婷</dc:creator>
  <cp:lastModifiedBy>雅婷</cp:lastModifiedBy>
  <cp:lastPrinted>2025-06-26T17:20:00Z</cp:lastPrinted>
  <dcterms:modified xsi:type="dcterms:W3CDTF">2026-04-30T17:36:40Z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5AFB0FE87F67AF07C41AF3698D6D7933_43</vt:lpwstr>
  </property>
  <property fmtid="{D5CDD505-2E9C-101B-9397-08002B2CF9AE}" pid="4" name="KSOTemplateDocerSaveRecord">
    <vt:lpwstr>eyJoZGlkIjoiZDQ1MjZmNDU2NjM3ZThlZTdkYjFkN2M3YzBkNjRiZTEiLCJ1c2VySWQiOiI3MjY4MzkxNDMifQ==</vt:lpwstr>
  </property>
</Properties>
</file>