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D80CA">
      <w:pPr>
        <w:widowControl w:val="0"/>
        <w:suppressAutoHyphens/>
        <w:spacing w:before="0" w:after="140" w:line="276" w:lineRule="auto"/>
        <w:jc w:val="both"/>
        <w:rPr>
          <w:rFonts w:hint="eastAsia" w:ascii="文星黑体" w:hAnsi="文星黑体" w:eastAsia="文星黑体" w:cs="文星黑体"/>
          <w:kern w:val="2"/>
          <w:sz w:val="32"/>
          <w:szCs w:val="32"/>
          <w:lang w:val="en-US" w:eastAsia="zh-CN" w:bidi="ar-SA"/>
        </w:rPr>
      </w:pPr>
      <w:r>
        <w:rPr>
          <w:rFonts w:hint="eastAsia" w:ascii="文星黑体" w:hAnsi="文星黑体" w:eastAsia="文星黑体" w:cs="文星黑体"/>
          <w:kern w:val="2"/>
          <w:sz w:val="32"/>
          <w:szCs w:val="32"/>
          <w:lang w:val="en-US" w:eastAsia="zh-CN" w:bidi="ar-SA"/>
        </w:rPr>
        <w:t>附件1</w:t>
      </w:r>
    </w:p>
    <w:p w14:paraId="45B828FB">
      <w:pPr>
        <w:widowControl w:val="0"/>
        <w:suppressAutoHyphens/>
        <w:spacing w:before="0" w:after="140" w:line="276" w:lineRule="auto"/>
        <w:jc w:val="center"/>
        <w:rPr>
          <w:rFonts w:hint="eastAsia" w:ascii="文星标宋" w:hAnsi="文星标宋" w:eastAsia="文星标宋" w:cs="文星标宋"/>
          <w:kern w:val="2"/>
          <w:sz w:val="44"/>
          <w:szCs w:val="44"/>
          <w:lang w:val="en-US" w:eastAsia="zh-CN" w:bidi="ar-SA"/>
        </w:rPr>
      </w:pPr>
      <w:r>
        <w:rPr>
          <w:rFonts w:hint="eastAsia" w:ascii="文星标宋" w:hAnsi="文星标宋" w:eastAsia="文星标宋" w:cs="文星标宋"/>
          <w:kern w:val="2"/>
          <w:sz w:val="44"/>
          <w:szCs w:val="44"/>
          <w:lang w:val="en-US" w:eastAsia="zh-CN" w:bidi="ar-SA"/>
        </w:rPr>
        <w:t>验收项目清单</w:t>
      </w:r>
    </w:p>
    <w:tbl>
      <w:tblPr>
        <w:tblStyle w:val="8"/>
        <w:tblW w:w="13992" w:type="dxa"/>
        <w:jc w:val="center"/>
        <w:tblLayout w:type="fixed"/>
        <w:tblCellMar>
          <w:top w:w="0" w:type="dxa"/>
          <w:left w:w="108" w:type="dxa"/>
          <w:bottom w:w="0" w:type="dxa"/>
          <w:right w:w="108" w:type="dxa"/>
        </w:tblCellMar>
      </w:tblPr>
      <w:tblGrid>
        <w:gridCol w:w="720"/>
        <w:gridCol w:w="2073"/>
        <w:gridCol w:w="5319"/>
        <w:gridCol w:w="3260"/>
        <w:gridCol w:w="1417"/>
        <w:gridCol w:w="1203"/>
      </w:tblGrid>
      <w:tr w14:paraId="21C9C8F8">
        <w:tblPrEx>
          <w:tblCellMar>
            <w:top w:w="0" w:type="dxa"/>
            <w:left w:w="108" w:type="dxa"/>
            <w:bottom w:w="0" w:type="dxa"/>
            <w:right w:w="108" w:type="dxa"/>
          </w:tblCellMar>
        </w:tblPrEx>
        <w:trPr>
          <w:trHeight w:val="499" w:hRule="atLeast"/>
          <w:tblHeader/>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E97259">
            <w:pPr>
              <w:widowControl/>
              <w:suppressAutoHyphens/>
              <w:spacing w:line="240" w:lineRule="auto"/>
              <w:jc w:val="center"/>
              <w:rPr>
                <w:rFonts w:hint="eastAsia" w:ascii="文星黑体" w:hAnsi="文星黑体" w:eastAsia="文星黑体" w:cs="文星黑体"/>
                <w:color w:val="000000"/>
                <w:kern w:val="0"/>
                <w:sz w:val="20"/>
                <w:szCs w:val="20"/>
              </w:rPr>
            </w:pPr>
            <w:bookmarkStart w:id="0" w:name="OLE_LINK1"/>
            <w:r>
              <w:rPr>
                <w:rFonts w:hint="eastAsia" w:ascii="文星黑体" w:hAnsi="文星黑体" w:eastAsia="文星黑体" w:cs="文星黑体"/>
                <w:color w:val="000000"/>
                <w:kern w:val="0"/>
                <w:sz w:val="20"/>
                <w:szCs w:val="20"/>
              </w:rPr>
              <w:t>序号</w:t>
            </w:r>
          </w:p>
        </w:tc>
        <w:tc>
          <w:tcPr>
            <w:tcW w:w="2073" w:type="dxa"/>
            <w:tcBorders>
              <w:top w:val="single" w:color="auto" w:sz="4" w:space="0"/>
              <w:left w:val="nil"/>
              <w:bottom w:val="single" w:color="auto" w:sz="4" w:space="0"/>
              <w:right w:val="single" w:color="auto" w:sz="4" w:space="0"/>
            </w:tcBorders>
            <w:shd w:val="clear" w:color="000000" w:fill="FFFFFF"/>
            <w:noWrap w:val="0"/>
            <w:vAlign w:val="center"/>
          </w:tcPr>
          <w:p w14:paraId="125396CF">
            <w:pPr>
              <w:widowControl/>
              <w:suppressAutoHyphens/>
              <w:spacing w:line="240" w:lineRule="auto"/>
              <w:jc w:val="center"/>
              <w:rPr>
                <w:rFonts w:hint="eastAsia" w:ascii="文星黑体" w:hAnsi="文星黑体" w:eastAsia="文星黑体" w:cs="文星黑体"/>
                <w:color w:val="000000"/>
                <w:kern w:val="0"/>
                <w:sz w:val="20"/>
                <w:szCs w:val="20"/>
              </w:rPr>
            </w:pPr>
            <w:r>
              <w:rPr>
                <w:rFonts w:hint="eastAsia" w:ascii="文星黑体" w:hAnsi="文星黑体" w:eastAsia="文星黑体" w:cs="文星黑体"/>
                <w:color w:val="000000"/>
                <w:kern w:val="0"/>
                <w:sz w:val="20"/>
                <w:szCs w:val="20"/>
              </w:rPr>
              <w:t>项目编号</w:t>
            </w:r>
          </w:p>
        </w:tc>
        <w:tc>
          <w:tcPr>
            <w:tcW w:w="5319" w:type="dxa"/>
            <w:tcBorders>
              <w:top w:val="single" w:color="auto" w:sz="4" w:space="0"/>
              <w:left w:val="nil"/>
              <w:bottom w:val="single" w:color="auto" w:sz="4" w:space="0"/>
              <w:right w:val="single" w:color="auto" w:sz="4" w:space="0"/>
            </w:tcBorders>
            <w:shd w:val="clear" w:color="000000" w:fill="FFFFFF"/>
            <w:noWrap w:val="0"/>
            <w:vAlign w:val="center"/>
          </w:tcPr>
          <w:p w14:paraId="45029F98">
            <w:pPr>
              <w:widowControl/>
              <w:suppressAutoHyphens/>
              <w:spacing w:line="240" w:lineRule="auto"/>
              <w:jc w:val="center"/>
              <w:rPr>
                <w:rFonts w:hint="eastAsia" w:ascii="文星黑体" w:hAnsi="文星黑体" w:eastAsia="文星黑体" w:cs="文星黑体"/>
                <w:color w:val="000000"/>
                <w:kern w:val="0"/>
                <w:sz w:val="20"/>
                <w:szCs w:val="20"/>
              </w:rPr>
            </w:pPr>
            <w:r>
              <w:rPr>
                <w:rFonts w:hint="eastAsia" w:ascii="文星黑体" w:hAnsi="文星黑体" w:eastAsia="文星黑体" w:cs="文星黑体"/>
                <w:color w:val="000000"/>
                <w:kern w:val="0"/>
                <w:sz w:val="20"/>
                <w:szCs w:val="20"/>
              </w:rPr>
              <w:t>项目名称</w:t>
            </w:r>
          </w:p>
        </w:tc>
        <w:tc>
          <w:tcPr>
            <w:tcW w:w="3260" w:type="dxa"/>
            <w:tcBorders>
              <w:top w:val="single" w:color="auto" w:sz="4" w:space="0"/>
              <w:left w:val="nil"/>
              <w:bottom w:val="single" w:color="auto" w:sz="4" w:space="0"/>
              <w:right w:val="single" w:color="auto" w:sz="4" w:space="0"/>
            </w:tcBorders>
            <w:shd w:val="clear" w:color="000000" w:fill="FFFFFF"/>
            <w:noWrap w:val="0"/>
            <w:vAlign w:val="center"/>
          </w:tcPr>
          <w:p w14:paraId="79EC9749">
            <w:pPr>
              <w:widowControl/>
              <w:suppressAutoHyphens/>
              <w:spacing w:line="240" w:lineRule="auto"/>
              <w:jc w:val="center"/>
              <w:rPr>
                <w:rFonts w:hint="eastAsia" w:ascii="文星黑体" w:hAnsi="文星黑体" w:eastAsia="文星黑体" w:cs="文星黑体"/>
                <w:color w:val="000000"/>
                <w:kern w:val="0"/>
                <w:sz w:val="20"/>
                <w:szCs w:val="20"/>
              </w:rPr>
            </w:pPr>
            <w:r>
              <w:rPr>
                <w:rFonts w:hint="eastAsia" w:ascii="文星黑体" w:hAnsi="文星黑体" w:eastAsia="文星黑体" w:cs="文星黑体"/>
                <w:color w:val="000000"/>
                <w:kern w:val="0"/>
                <w:sz w:val="20"/>
                <w:szCs w:val="20"/>
              </w:rPr>
              <w:t>承担单位</w:t>
            </w:r>
          </w:p>
        </w:tc>
        <w:tc>
          <w:tcPr>
            <w:tcW w:w="1417" w:type="dxa"/>
            <w:tcBorders>
              <w:top w:val="single" w:color="auto" w:sz="4" w:space="0"/>
              <w:left w:val="nil"/>
              <w:bottom w:val="single" w:color="auto" w:sz="4" w:space="0"/>
              <w:right w:val="single" w:color="auto" w:sz="4" w:space="0"/>
            </w:tcBorders>
            <w:shd w:val="clear" w:color="000000" w:fill="FFFFFF"/>
            <w:noWrap w:val="0"/>
            <w:vAlign w:val="center"/>
          </w:tcPr>
          <w:p w14:paraId="0F54E7DF">
            <w:pPr>
              <w:widowControl/>
              <w:suppressAutoHyphens/>
              <w:spacing w:line="240" w:lineRule="auto"/>
              <w:jc w:val="center"/>
              <w:rPr>
                <w:rFonts w:hint="eastAsia" w:ascii="文星黑体" w:hAnsi="文星黑体" w:eastAsia="文星黑体" w:cs="文星黑体"/>
                <w:color w:val="000000"/>
                <w:kern w:val="0"/>
                <w:sz w:val="20"/>
                <w:szCs w:val="20"/>
              </w:rPr>
            </w:pPr>
            <w:r>
              <w:rPr>
                <w:rFonts w:hint="eastAsia" w:ascii="文星黑体" w:hAnsi="文星黑体" w:eastAsia="文星黑体" w:cs="文星黑体"/>
                <w:color w:val="000000"/>
                <w:kern w:val="0"/>
                <w:sz w:val="20"/>
                <w:szCs w:val="20"/>
              </w:rPr>
              <w:t>到期时间</w:t>
            </w:r>
          </w:p>
        </w:tc>
        <w:tc>
          <w:tcPr>
            <w:tcW w:w="1203" w:type="dxa"/>
            <w:tcBorders>
              <w:top w:val="single" w:color="auto" w:sz="4" w:space="0"/>
              <w:left w:val="nil"/>
              <w:bottom w:val="single" w:color="auto" w:sz="4" w:space="0"/>
              <w:right w:val="single" w:color="auto" w:sz="4" w:space="0"/>
            </w:tcBorders>
            <w:shd w:val="clear" w:color="000000" w:fill="FFFFFF"/>
            <w:noWrap w:val="0"/>
            <w:vAlign w:val="center"/>
          </w:tcPr>
          <w:p w14:paraId="4AEED1C0">
            <w:pPr>
              <w:widowControl/>
              <w:suppressAutoHyphens/>
              <w:spacing w:line="240" w:lineRule="auto"/>
              <w:jc w:val="center"/>
              <w:rPr>
                <w:rFonts w:hint="eastAsia" w:ascii="文星黑体" w:hAnsi="文星黑体" w:eastAsia="文星黑体" w:cs="文星黑体"/>
                <w:color w:val="000000"/>
                <w:kern w:val="0"/>
                <w:sz w:val="20"/>
                <w:szCs w:val="20"/>
              </w:rPr>
            </w:pPr>
            <w:r>
              <w:rPr>
                <w:rFonts w:hint="eastAsia" w:ascii="文星黑体" w:hAnsi="文星黑体" w:eastAsia="文星黑体" w:cs="文星黑体"/>
                <w:color w:val="000000"/>
                <w:kern w:val="0"/>
                <w:sz w:val="20"/>
                <w:szCs w:val="20"/>
              </w:rPr>
              <w:t>验收方式</w:t>
            </w:r>
          </w:p>
        </w:tc>
      </w:tr>
      <w:tr w14:paraId="49E22461">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7A0E17">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9DE8B9">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2023030103010003</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D74052">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多模态大模型开放服务平台研发及成果转化</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51FFAF">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武汉人工智能研究院</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C2ED69">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2026-03-31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17497C">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0B505530">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729273">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0D7468">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2023030103010570</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FF891F">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城市道路塌陷物理诊断关键技术与装备成果转化</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2C0AFF">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长江地球物理探测（武汉）有限公司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DC0FCD">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3D0F68">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38D086DF">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EC1331">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6D568F">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2023030103010571</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67EE0F">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GIS电力互感器现场校验关键技术成果转化</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9E85E3">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武汉磐电科技股份有限公司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1BD24A">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48ADFD">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7DB6BC6A">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7BCB82">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9EE68D">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2023030103010632</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7DAAF9">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优质长粒香稻新品种中试示范与推广</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254877">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湖北省农业科学院</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2AB72B">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2026-06-30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1BE7DA">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0FBC8762">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E14186">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DB3EED">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2023030103010633</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ED3A5B">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生物制药用纤维基过滤分离膜材料成果转化</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D062F3">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武汉维晨科技有限公司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4C89BE">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2026-06-30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F9CBE5">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021199EA">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01901A">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4D374D">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2023030103010725</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C073CF">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燃料电池金属双极板新一代沉积工艺、装备及应用</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B673A6">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中国机械总院集团武汉材料保护研究所有限公司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716983">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2026-10-31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28D808">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21E03F34">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BBEABC">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79B2F5">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2023030103010726</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829B30">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基于多源时空与智能感知的数据融合及高效渲染技术研究与应用</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78FEBA">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武汉市汉阳市政建设集团有限公司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58AF21">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2026-09-30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0A3B81">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526F6411">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A65997">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9D081A">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2024030803010163</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804087">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一体化轻型智能筑塔机关键技术研发与应用示范</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8E2993">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中交第二航务工程局有限公司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3EF326">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2026-06-30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0C05A1">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7D9A4F1E">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059842">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BFA41A">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2024030803010164</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AC357E">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隧道地质探测装备产业化应用</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4E6318">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中交第二公路勘察设计研究院有限公司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D5026B">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2026-06-30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C02CCE">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1A57A499">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0D50B7">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63703F">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2024030803010165</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7E0153">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掘爆一体隧道施工装备研发及产业化</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00FAD1">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中铁科工集团轨道交通装备有限公司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338989">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2026-06-30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331CC3">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5CE339A1">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810D24">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11</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88E294">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2024030803010166</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50229D">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“魔毯”悬架集成控制系统</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8C74C5">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岚图汽车科技有限公司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849D62">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2026-06-30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651D98">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6E22426C">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DA5B33">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FD19A6">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2024030803010167</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1E4A1E">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无人艇平台协同控制技术研究及应用</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7A850B">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武汉南华工业设备工程股份有限公司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ABD8AF">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2026-06-30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18B1F2">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0A055FA6">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70EC92">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AFE4CC">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2024030803010168</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DCF843">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1000比特量子计算机关键技术攻关</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2DBD91">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中科酷原科技（武汉）有限公司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B9323A">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2026-06-30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0C0C8B">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0D5CE930">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928AF7">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611704">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2024030803010169</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1356AA">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量子重力梯度仪产品中试及应用</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9503F6">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武汉华中天纬测控有限公司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1C5C12">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2026-06-30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734D5C">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0BD6A3C2">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6B9ECD">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DC43D6">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2024030803010170</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22956F">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高色域高可靠性Mini LED显示模组研发及产业化</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70F20F">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华引芯（武汉）科技有限公司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40D0C8">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2026-06-30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787017">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46DDFBB2">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6C7EC5">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16</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ACE2BC">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2024030803010171</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904496">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高温高压裸眼井电缆存储双模直推快测平台研制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1213EA">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武汉三江航天远方科技有限公司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1227D0">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2026-06-30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826554">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40917476">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76D0B1">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17</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EA0A39">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2024030803010172</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E94B8F">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国产安全可控多模态感算融合智能平台</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3B7364">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武汉烽火信息集成技术有限公司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55469F">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2026-06-30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22822D">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491B47B6">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88F99F">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18</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42A792">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2024030803010173</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9EACF9">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智能网联汽车多模态融合感知技术研发及量产应用</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56898F">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武汉光昱明晟智能科技有限公司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8F034E">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2026-06-30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A4C422">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2D0503D8">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231CC5">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19</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927EC7">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2024030803010174</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BABC42">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实时实景地理孪生智能服务平台及产业化</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0FB3C5">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吉奥时空信息技术股份有限公司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A3C8D4">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2026-06-30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682BB8">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0A2EDAB8">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D55626">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7D4488">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2024030803010175</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319989">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透明地下空间软件工具产品试验及产业化推广</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97B05B">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武汉中地数码科技有限公司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F21FA9">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2026-06-30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B241B9">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239AB25A">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431D85">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21</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5525F1">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2024030803010176</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D29EBF">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基于AI、边缘计算的快速三维重建技术及国产装备产业化</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32DD24">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武汉地大信息工程股份有限公司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BBB15D">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2026-06-30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2F1DC4">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12BA6D5C">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E21B13">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22</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01B36B">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2024030803010178</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176294">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高能效信息通信网络关键技术研发及成果转化</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2B7F14">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武汉烽火技术服务有限公司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94174D">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2026-06-30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F8A8B2">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1E38CC14">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251004">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23</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7E2936">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2024030803010179</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8A5381">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城市水资源智慧水务大模型～全场景数字 孪生及智慧用水AI大模型关键技术研究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AEA07D">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武汉汉水高新科技有限公司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3C801D">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2026-06-30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7AEA51">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0EA3F68D">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C030F6">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24</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AD3837">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2024030803010180</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3D3857">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芯片制造化学机械抛光电镀金刚石修整盘技术研发及成果转化</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666DF0">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武汉市汇达材料科技有限公司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43F2EB">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2026-06-30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18EEEA">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198A7AFC">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BFB9BE">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25</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704F3F">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2024030803010181</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F39DE1">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动力储能电池用超高储热密度热失控防护材料产业化   </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FE3230">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武汉长盈通光电技术股份有限公司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A72958">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2026-06-30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853FDD">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1B1DE23C">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D76057">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26</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A9007F">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2024030803010182</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54A478">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新能源电池高压平台安全防护关键材料</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199233">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武汉金发科技有限公司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54DC89">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2026-06-30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AA12B4">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40870A90">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BD7446">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27</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45B675">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2024030803010183</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FC3D22">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光催化取代甲苯高选择性氧化工艺研发和应用</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FC058E">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武汉有机实业有限公司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5EF80A">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2026-06-30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662CAB">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0FC66C71">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D0488F">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28</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5FDF26">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2024030803010184</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5338A4">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首批次新材料烯基硅烷外给电子体的开发及应用研究       </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3FDA15">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湖北华邦化学有限公司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088062">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2026-06-30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13F5AF">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218C6D1F">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4DF6DC">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29</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BEC786">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2024030803010185</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DED468">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碳矿化新材料关键制备技术及生产示范</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641CDD">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武汉国材科技有限公司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6BB6EE">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2026-06-30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53C84C">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25F2AC32">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FF9274">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30</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C33EE9">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2024030803010186</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E6D88F">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自主脂肪酶的创制及产业化应用</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CAB2B2">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武汉新华扬生物股份有限公司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5097F8">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2026-06-30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DE8432">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332700EF">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1002FD">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31</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48FB4A">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2024030803010187</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1B728C">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大宗平台化合物非粮合成生物制造关键技术开发与产业化应用</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B93C38">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武汉睿嘉康生物科技有限公司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577595">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2026-06-30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4E3535">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39F06BA3">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D2BAD9">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32</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250370">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2024030803010188</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005938">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微创心肌切除系统的研发与产业化</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3DDBF1">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武汉微新坦医疗科技有限公司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19C63A">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2026-06-30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5ECC92">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3E5D5889">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0F7845">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33</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881302">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2024030803010189</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C9C7C3">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高端医用材料应用于人工心脏瓣膜开发及产业化</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A9DEB5">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武汉唯柯医疗科技有限公司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C3567E">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2026-06-30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99A1E2">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573A5CF4">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85E094">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34</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FE9649">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2024030803010190</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8DE524">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基于磁控软体机器人技术的植入式人工膀胱</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F013A5">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武汉硅基生命医疗科技有限公司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12E095">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2026-06-30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87A3BC">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48E5B98B">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DABCD0">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35</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359911">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2024030803010191</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3E1B17">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国产时序可控铥光纤激光治疗机关键技术研究与产业化</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75F5C7">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武汉唐济医疗科技有限公司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D45DD0">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2026-06-30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DE7FAD">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787906E0">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AB1936">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36</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56D37D">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2024030803010192</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84E2C9">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全景多功能乳腺光声成像系统成果转化</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19355C">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武汉和视光声科技有限公司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EFBCA3">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2026-06-30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739552">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387648CE">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AF7074">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37</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19CF4C">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2024030803010193</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B86C9F">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细胞治疗伴随诊断及个体化预测评估系统的研发及转化应用</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498208">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武汉康圣达医学检验所有限公司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86571F">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2026-06-30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2F2300">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08381A30">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685AF1">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38</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38A8DC">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2024031103010837</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9CF868">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卫星数据多场景应用示范</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E33E92">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武汉市测绘研究院</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6B3727">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2026-09-30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C62A9A">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2DAFB13D">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838DFA">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39</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5B79AA">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2024031203010847</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1B7FDA">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宽温高功率半导体封装测试装备</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0C508B">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武汉驿天诺科技有限公司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1B47E6">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2026-11-30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F079F5">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56135CAD">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39C5F6">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40</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F387CF">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2024031203010848</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7E67A4">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1.6T CP0光引擎系列自动微组装（ribbon fiber to the chip）设备及系统</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6DF5EA">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武汉达姆科技有限公司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D37F6B">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2026-11-30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6B9463">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5E1C33AD">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D2FAA5">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41</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092CBA">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2024031203010849</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F36080">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新一代深地战略性紧缺资源航磁高分辨率探测平台</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324D01">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武汉中地云申科技有限公司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534411">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2026-11-30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79C0C8">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3014C944">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920D24">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42</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DE6DFE">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2024031203010850</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AF0633">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地下分布式储氢装置应用示范</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A15E01">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中冶武勘工程技术有限公司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929BC6">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2026-11-30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CF2F57">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37FF635D">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337143">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43</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8A28C1">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2024031203010851</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F71B42">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新能源汽车快速充电模块的研发及产业化</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F201E9">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武汉烽火富华电气有限责任公司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E06882">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2026-11-30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DE6D0D">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55125630">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185744">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44</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20CA82">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2024031203010852</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49A018">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Ebooster升压滤波技术的研发及转化应用</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99EA4E">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武汉嘉晨电子技术股份有限公司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465943">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2026-11-30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D80AC8">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55448FA1">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F3204F">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45</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6745D9">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2024031203010853</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D19F3E">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氢燃料内燃机及绿色电力应用</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359D94">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氢成绿动新能源（武汉）有限公司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95DA73">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2026-11-30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F8C970">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0367BF4C">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ECB972">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46</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C2EDC0">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2024031203010854</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0DAA61">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智能线控制动系统EMB力传感器的关键技术研究及成果转化</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A52457">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武汉飞恩微电子有限公司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EA5C77">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2026-11-30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40B261">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0BA17B2E">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B8B696">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47</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C27AA8">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2024031203010855</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4D2068">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特种功能涂料的制备与工业化应用</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27B527">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武汉双虎涂料股份有限公司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3006E8">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2026-11-30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38E638">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135389DF">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F174F1">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48</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7CF32A">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2024031203010856</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85AB6E">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新一代光通信系统用石墨烯泡棉热界面材料关键技术开发与产业化应用</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9FD6C7">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武汉汉烯科技有限公司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12B578">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2026-11-30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A14D4B">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4876C1C9">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E077D6">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49</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5D0950">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2024031203010857</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A27209">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新型盐湖提锂二维矿物薄膜研发及产业化</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02D92E">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武汉科莱烯科技有限公司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EF9F93">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2026-11-30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277C6E">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tr w14:paraId="3E11CFBC">
        <w:tblPrEx>
          <w:tblCellMar>
            <w:top w:w="0" w:type="dxa"/>
            <w:left w:w="108" w:type="dxa"/>
            <w:bottom w:w="0" w:type="dxa"/>
            <w:right w:w="108" w:type="dxa"/>
          </w:tblCellMar>
        </w:tblPrEx>
        <w:trPr>
          <w:trHeight w:val="499"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09488E">
            <w:pPr>
              <w:keepNext w:val="0"/>
              <w:keepLines w:val="0"/>
              <w:widowControl/>
              <w:suppressLineNumbers w:val="0"/>
              <w:suppressAutoHyphens/>
              <w:spacing w:line="240" w:lineRule="auto"/>
              <w:jc w:val="center"/>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50</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EAA170">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2024031203010860</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7B64B6">
            <w:pPr>
              <w:keepNext w:val="0"/>
              <w:keepLines w:val="0"/>
              <w:widowControl/>
              <w:suppressLineNumbers w:val="0"/>
              <w:suppressAutoHyphens/>
              <w:spacing w:line="240" w:lineRule="auto"/>
              <w:jc w:val="left"/>
              <w:textAlignment w:val="top"/>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重组人GM-CSF溶瘤II型单纯疱疹病毒（OH2）注射液治疗标准治疗失败的黑色素瘤患者的III期临床研究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715747">
            <w:pPr>
              <w:keepNext w:val="0"/>
              <w:keepLines w:val="0"/>
              <w:widowControl/>
              <w:suppressLineNumbers w:val="0"/>
              <w:suppressAutoHyphens/>
              <w:spacing w:line="240" w:lineRule="auto"/>
              <w:jc w:val="left"/>
              <w:textAlignment w:val="center"/>
              <w:rPr>
                <w:rFonts w:hint="eastAsia" w:ascii="宋体" w:hAnsi="宋体" w:eastAsia="宋体" w:cs="宋体"/>
                <w:kern w:val="0"/>
                <w:sz w:val="22"/>
                <w:szCs w:val="22"/>
                <w:lang w:val="en-US" w:eastAsia="zh-CN"/>
              </w:rPr>
            </w:pPr>
            <w:r>
              <w:rPr>
                <w:rFonts w:hint="default" w:ascii="Calibri" w:hAnsi="Calibri" w:eastAsia="宋体" w:cs="Calibri"/>
                <w:i w:val="0"/>
                <w:iCs w:val="0"/>
                <w:color w:val="000000"/>
                <w:kern w:val="0"/>
                <w:sz w:val="22"/>
                <w:szCs w:val="22"/>
                <w:u w:val="none"/>
                <w:lang w:val="en-US" w:eastAsia="zh-CN" w:bidi="ar"/>
              </w:rPr>
              <w:t>武汉滨会生物科技股份有限公司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BCE680">
            <w:pPr>
              <w:keepNext w:val="0"/>
              <w:keepLines w:val="0"/>
              <w:widowControl/>
              <w:suppressLineNumbers w:val="0"/>
              <w:suppressAutoHyphens/>
              <w:spacing w:line="240" w:lineRule="auto"/>
              <w:jc w:val="center"/>
              <w:textAlignment w:val="top"/>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2026-11-30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6E5F0B">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top"/>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现场验收</w:t>
            </w:r>
          </w:p>
        </w:tc>
      </w:tr>
      <w:bookmarkEnd w:id="0"/>
    </w:tbl>
    <w:p w14:paraId="32F64530">
      <w:pPr>
        <w:keepNext w:val="0"/>
        <w:keepLines w:val="0"/>
        <w:pageBreakBefore w:val="0"/>
        <w:widowControl w:val="0"/>
        <w:suppressAutoHyphens/>
        <w:kinsoku/>
        <w:wordWrap/>
        <w:overflowPunct/>
        <w:topLinePunct w:val="0"/>
        <w:autoSpaceDE/>
        <w:autoSpaceDN/>
        <w:bidi w:val="0"/>
        <w:adjustRightInd/>
        <w:snapToGrid/>
        <w:spacing w:before="0" w:after="0" w:line="100" w:lineRule="exact"/>
        <w:jc w:val="both"/>
        <w:textAlignment w:val="auto"/>
        <w:rPr>
          <w:rFonts w:hint="eastAsia" w:ascii="文星仿宋" w:hAnsi="文星仿宋" w:eastAsia="文星仿宋" w:cs="文星仿宋"/>
          <w:kern w:val="2"/>
          <w:sz w:val="32"/>
          <w:szCs w:val="32"/>
          <w:lang w:val="en-US" w:eastAsia="zh-CN" w:bidi="ar-SA"/>
        </w:rPr>
      </w:pPr>
    </w:p>
    <w:p w14:paraId="584473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bookmarkStart w:id="1" w:name="_GoBack"/>
      <w:bookmarkEnd w:id="1"/>
    </w:p>
    <w:sectPr>
      <w:headerReference r:id="rId5" w:type="default"/>
      <w:footerReference r:id="rId7" w:type="default"/>
      <w:headerReference r:id="rId6" w:type="even"/>
      <w:pgSz w:w="16838" w:h="11906" w:orient="landscape"/>
      <w:pgMar w:top="1417" w:right="1587" w:bottom="1417" w:left="1587" w:header="851" w:footer="737" w:gutter="0"/>
      <w:cols w:space="0" w:num="1"/>
      <w:rtlGutter w:val="0"/>
      <w:docGrid w:type="lines" w:linePitch="44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80000283" w:usb1="380F1C10" w:usb2="00000016" w:usb3="00000000" w:csb0="403E0001" w:csb1="C0D6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文星仿宋">
    <w:panose1 w:val="02010609000101010101"/>
    <w:charset w:val="86"/>
    <w:family w:val="auto"/>
    <w:pitch w:val="default"/>
    <w:sig w:usb0="00000001" w:usb1="080E0000" w:usb2="00000000" w:usb3="00000000" w:csb0="00040000" w:csb1="00000000"/>
  </w:font>
  <w:font w:name="Georgia">
    <w:altName w:val="文星仿宋"/>
    <w:panose1 w:val="02040502050405020303"/>
    <w:charset w:val="00"/>
    <w:family w:val="roman"/>
    <w:pitch w:val="default"/>
    <w:sig w:usb0="00000000" w:usb1="00000000" w:usb2="00000000" w:usb3="00000000" w:csb0="0000009F" w:csb1="00000000"/>
  </w:font>
  <w:font w:name="文星黑体">
    <w:panose1 w:val="02010609000101010101"/>
    <w:charset w:val="86"/>
    <w:family w:val="modern"/>
    <w:pitch w:val="default"/>
    <w:sig w:usb0="00000001" w:usb1="080E0000" w:usb2="00000000" w:usb3="00000000" w:csb0="00040000" w:csb1="00000000"/>
  </w:font>
  <w:font w:name="文星楷体">
    <w:panose1 w:val="02010604000101010101"/>
    <w:charset w:val="86"/>
    <w:family w:val="modern"/>
    <w:pitch w:val="default"/>
    <w:sig w:usb0="00000001" w:usb1="080E0000" w:usb2="00000000" w:usb3="00000000" w:csb0="00040001" w:csb1="00000000"/>
  </w:font>
  <w:font w:name="文星书宋">
    <w:panose1 w:val="02010609000101010101"/>
    <w:charset w:val="86"/>
    <w:family w:val="auto"/>
    <w:pitch w:val="default"/>
    <w:sig w:usb0="00000001" w:usb1="080E0000" w:usb2="00000000" w:usb3="00000000" w:csb0="00040000" w:csb1="00000000"/>
  </w:font>
  <w:font w:name="Arial">
    <w:altName w:val="Times New Roman"/>
    <w:panose1 w:val="00000000000000000000"/>
    <w:charset w:val="00"/>
    <w:family w:val="auto"/>
    <w:pitch w:val="default"/>
    <w:sig w:usb0="00000000" w:usb1="00000000" w:usb2="00000000" w:usb3="00000000" w:csb0="00000000" w:csb1="00000000"/>
  </w:font>
  <w:font w:name="文星标宋">
    <w:panose1 w:val="0201060900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4027033"/>
      <w:docPartObj>
        <w:docPartGallery w:val="autotext"/>
      </w:docPartObj>
    </w:sdtPr>
    <w:sdtEndPr>
      <w:rPr>
        <w:rFonts w:ascii="宋体" w:hAnsi="宋体" w:eastAsia="宋体"/>
        <w:sz w:val="24"/>
        <w:szCs w:val="24"/>
      </w:rPr>
    </w:sdtEndPr>
    <w:sdtContent>
      <w:p w14:paraId="1FC3EE50">
        <w:pPr>
          <w:pStyle w:val="5"/>
          <w:jc w:val="center"/>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1</w:t>
        </w:r>
        <w:r>
          <w:rPr>
            <w:rFonts w:ascii="宋体" w:hAnsi="宋体" w:eastAsia="宋体"/>
            <w:sz w:val="24"/>
            <w:szCs w:val="24"/>
          </w:rPr>
          <w:fldChar w:fldCharType="end"/>
        </w:r>
      </w:p>
    </w:sdtContent>
  </w:sdt>
  <w:p w14:paraId="07653284">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237E3">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E8ACF">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attachedTemplate r:id="rId1"/>
  <w:documentProtection w:enforcement="0"/>
  <w:defaultTabStop w:val="420"/>
  <w:drawingGridHorizontalSpacing w:val="160"/>
  <w:drawingGridVerticalSpacing w:val="220"/>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FFF6758"/>
    <w:rsid w:val="00242219"/>
    <w:rsid w:val="00705785"/>
    <w:rsid w:val="009443B0"/>
    <w:rsid w:val="00A21E62"/>
    <w:rsid w:val="00B472C2"/>
    <w:rsid w:val="00C72BE8"/>
    <w:rsid w:val="00E7716B"/>
    <w:rsid w:val="09BFD10E"/>
    <w:rsid w:val="3DEF6A6E"/>
    <w:rsid w:val="BCB72667"/>
    <w:rsid w:val="BF7792A9"/>
    <w:rsid w:val="F78F6D85"/>
    <w:rsid w:val="F79F11B4"/>
    <w:rsid w:val="FED33AEE"/>
    <w:rsid w:val="FF3FDFC8"/>
    <w:rsid w:val="FFFF6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00" w:lineRule="exact"/>
      <w:jc w:val="both"/>
    </w:pPr>
    <w:rPr>
      <w:rFonts w:asciiTheme="minorHAnsi" w:hAnsiTheme="minorHAnsi" w:eastAsiaTheme="minorEastAsia" w:cstheme="minorBidi"/>
      <w:kern w:val="2"/>
      <w:sz w:val="32"/>
      <w:szCs w:val="22"/>
      <w:lang w:val="en-US" w:eastAsia="zh-CN" w:bidi="ar-SA"/>
    </w:rPr>
  </w:style>
  <w:style w:type="paragraph" w:styleId="2">
    <w:name w:val="heading 1"/>
    <w:basedOn w:val="1"/>
    <w:next w:val="1"/>
    <w:link w:val="14"/>
    <w:qFormat/>
    <w:uiPriority w:val="9"/>
    <w:pPr>
      <w:widowControl w:val="0"/>
      <w:outlineLvl w:val="0"/>
    </w:pPr>
    <w:rPr>
      <w:rFonts w:eastAsia="文星黑体"/>
      <w:bCs/>
      <w:kern w:val="0"/>
      <w:szCs w:val="44"/>
    </w:rPr>
  </w:style>
  <w:style w:type="paragraph" w:styleId="3">
    <w:name w:val="heading 2"/>
    <w:basedOn w:val="1"/>
    <w:next w:val="1"/>
    <w:link w:val="15"/>
    <w:unhideWhenUsed/>
    <w:qFormat/>
    <w:uiPriority w:val="9"/>
    <w:pPr>
      <w:widowControl w:val="0"/>
      <w:outlineLvl w:val="1"/>
    </w:pPr>
    <w:rPr>
      <w:rFonts w:eastAsia="文星楷体" w:asciiTheme="majorHAnsi" w:hAnsiTheme="majorHAnsi" w:cstheme="majorBidi"/>
      <w:bCs/>
      <w:kern w:val="0"/>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uiPriority w:val="0"/>
    <w:pPr>
      <w:spacing w:before="0" w:after="140" w:line="276" w:lineRule="auto"/>
    </w:pPr>
  </w:style>
  <w:style w:type="paragraph" w:styleId="5">
    <w:name w:val="footer"/>
    <w:basedOn w:val="1"/>
    <w:link w:val="13"/>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Strong"/>
    <w:basedOn w:val="9"/>
    <w:qFormat/>
    <w:uiPriority w:val="22"/>
    <w:rPr>
      <w:b/>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eastAsia="文星黑体"/>
      <w:bCs/>
      <w:kern w:val="0"/>
      <w:szCs w:val="44"/>
    </w:rPr>
  </w:style>
  <w:style w:type="character" w:customStyle="1" w:styleId="15">
    <w:name w:val="标题 2 Char"/>
    <w:basedOn w:val="9"/>
    <w:link w:val="3"/>
    <w:qFormat/>
    <w:uiPriority w:val="9"/>
    <w:rPr>
      <w:rFonts w:eastAsia="文星楷体" w:asciiTheme="majorHAnsi" w:hAnsiTheme="majorHAnsi" w:cstheme="majorBidi"/>
      <w:bCs/>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Desktop/&#26032;&#243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公文">
      <a:majorFont>
        <a:latin typeface="Arial"/>
        <a:ea typeface="文星标宋"/>
        <a:cs typeface=""/>
      </a:majorFont>
      <a:minorFont>
        <a:latin typeface="Georgia"/>
        <a:ea typeface="文星仿宋"/>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新建.dotx</Template>
  <Pages>5</Pages>
  <Words>0</Words>
  <Characters>0</Characters>
  <Lines>0</Lines>
  <Paragraphs>0</Paragraphs>
  <TotalTime>0</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2026-01-26T18:50:00Z</dcterms:created>
  <dc:creator>user</dc:creator>
  <cp:lastModifiedBy>user</cp:lastModifiedBy>
  <dcterms:modified xsi:type="dcterms:W3CDTF">2026-01-26T18:51:28Z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8814A2418A87351C02477769B9D06677_41</vt:lpwstr>
  </property>
</Properties>
</file>