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F945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E31E5B4">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ascii="方正小标宋简体" w:hAnsi="方正小标宋简体" w:eastAsia="方正小标宋简体" w:cs="方正小标宋简体"/>
          <w:b w:val="0"/>
          <w:i w:val="0"/>
          <w:spacing w:val="0"/>
          <w:w w:val="100"/>
          <w:sz w:val="44"/>
          <w:szCs w:val="44"/>
          <w:lang w:val="en-US" w:eastAsia="zh-CN"/>
        </w:rPr>
      </w:pPr>
    </w:p>
    <w:p w14:paraId="54A569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小标宋简体" w:hAnsi="方正小标宋简体" w:eastAsia="方正小标宋简体" w:cs="方正小标宋简体"/>
          <w:b w:val="0"/>
          <w:i w:val="0"/>
          <w:spacing w:val="0"/>
          <w:w w:val="100"/>
          <w:sz w:val="44"/>
          <w:szCs w:val="44"/>
          <w:lang w:val="en-US" w:eastAsia="zh-CN"/>
        </w:rPr>
      </w:pPr>
      <w:r>
        <w:rPr>
          <w:rFonts w:hint="eastAsia" w:ascii="方正小标宋简体" w:hAnsi="方正小标宋简体" w:eastAsia="方正小标宋简体" w:cs="方正小标宋简体"/>
          <w:b w:val="0"/>
          <w:i w:val="0"/>
          <w:spacing w:val="0"/>
          <w:w w:val="100"/>
          <w:sz w:val="44"/>
          <w:szCs w:val="44"/>
          <w:lang w:val="en-US" w:eastAsia="zh-CN"/>
        </w:rPr>
        <w:t>2025年度技术交易补助资料校验工作需求</w:t>
      </w:r>
    </w:p>
    <w:p w14:paraId="4419BCDD">
      <w:pPr>
        <w:pStyle w:val="2"/>
        <w:rPr>
          <w:rFonts w:hint="eastAsia"/>
          <w:lang w:val="en-US" w:eastAsia="zh-CN"/>
        </w:rPr>
      </w:pPr>
    </w:p>
    <w:p w14:paraId="1CAB2B4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Fonts w:hint="eastAsia" w:ascii="仿宋_GB2312" w:hAnsi="仿宋_GB2312" w:eastAsia="仿宋_GB2312" w:cs="仿宋_GB2312"/>
          <w:b w:val="0"/>
          <w:i w:val="0"/>
          <w:spacing w:val="0"/>
          <w:w w:val="100"/>
          <w:sz w:val="32"/>
          <w:szCs w:val="32"/>
        </w:rPr>
      </w:pPr>
      <w:r>
        <w:rPr>
          <w:rFonts w:hint="eastAsia" w:ascii="仿宋_GB2312" w:hAnsi="仿宋_GB2312" w:eastAsia="仿宋_GB2312" w:cs="仿宋_GB2312"/>
          <w:b w:val="0"/>
          <w:i w:val="0"/>
          <w:spacing w:val="0"/>
          <w:w w:val="100"/>
          <w:sz w:val="32"/>
          <w:szCs w:val="32"/>
          <w:lang w:val="en-US" w:eastAsia="zh-CN"/>
        </w:rPr>
        <w:t>受托</w:t>
      </w:r>
      <w:r>
        <w:rPr>
          <w:rFonts w:hint="eastAsia" w:ascii="仿宋_GB2312" w:hAnsi="仿宋_GB2312" w:eastAsia="仿宋_GB2312" w:cs="仿宋_GB2312"/>
          <w:b w:val="0"/>
          <w:i w:val="0"/>
          <w:spacing w:val="0"/>
          <w:w w:val="100"/>
          <w:sz w:val="32"/>
          <w:szCs w:val="32"/>
        </w:rPr>
        <w:t>方组织</w:t>
      </w:r>
      <w:r>
        <w:rPr>
          <w:rFonts w:hint="eastAsia" w:ascii="仿宋_GB2312" w:hAnsi="仿宋_GB2312" w:eastAsia="仿宋_GB2312" w:cs="仿宋_GB2312"/>
          <w:b w:val="0"/>
          <w:i w:val="0"/>
          <w:spacing w:val="0"/>
          <w:w w:val="100"/>
          <w:sz w:val="32"/>
          <w:szCs w:val="32"/>
          <w:lang w:val="en-US" w:eastAsia="zh-CN"/>
        </w:rPr>
        <w:t>资料校验</w:t>
      </w:r>
      <w:r>
        <w:rPr>
          <w:rFonts w:hint="eastAsia" w:ascii="仿宋_GB2312" w:hAnsi="仿宋_GB2312" w:eastAsia="仿宋_GB2312" w:cs="仿宋_GB2312"/>
          <w:b w:val="0"/>
          <w:i w:val="0"/>
          <w:spacing w:val="0"/>
          <w:w w:val="100"/>
          <w:sz w:val="32"/>
          <w:szCs w:val="32"/>
        </w:rPr>
        <w:t>核查工作小组，按照</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武汉市促进科技成果转化的若干政策措施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武政〔2024〕2号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val="0"/>
          <w:i w:val="0"/>
          <w:spacing w:val="0"/>
          <w:w w:val="100"/>
          <w:sz w:val="32"/>
          <w:szCs w:val="32"/>
        </w:rPr>
        <w:t>相关规定</w:t>
      </w:r>
      <w:r>
        <w:rPr>
          <w:rFonts w:hint="eastAsia" w:ascii="仿宋_GB2312" w:hAnsi="仿宋_GB2312" w:eastAsia="仿宋_GB2312" w:cs="仿宋_GB2312"/>
          <w:b w:val="0"/>
          <w:i w:val="0"/>
          <w:spacing w:val="0"/>
          <w:w w:val="100"/>
          <w:sz w:val="32"/>
          <w:szCs w:val="32"/>
          <w:lang w:eastAsia="zh-CN"/>
        </w:rPr>
        <w:t>，</w:t>
      </w:r>
      <w:r>
        <w:rPr>
          <w:rFonts w:hint="eastAsia" w:ascii="仿宋_GB2312" w:hAnsi="仿宋_GB2312" w:eastAsia="仿宋_GB2312" w:cs="仿宋_GB2312"/>
          <w:spacing w:val="0"/>
          <w:kern w:val="0"/>
          <w:sz w:val="32"/>
          <w:szCs w:val="32"/>
          <w:shd w:val="clear" w:color="auto" w:fill="FFFFFF"/>
          <w:lang w:val="en-US" w:eastAsia="zh-CN"/>
        </w:rPr>
        <w:t>对158家单位提交的1148项技术合同</w:t>
      </w:r>
      <w:r>
        <w:rPr>
          <w:rFonts w:hint="eastAsia" w:ascii="仿宋_GB2312" w:hAnsi="仿宋_GB2312" w:eastAsia="仿宋_GB2312" w:cs="仿宋_GB2312"/>
          <w:b w:val="0"/>
          <w:i w:val="0"/>
          <w:spacing w:val="0"/>
          <w:w w:val="100"/>
          <w:sz w:val="32"/>
          <w:szCs w:val="32"/>
        </w:rPr>
        <w:t>及相关</w:t>
      </w:r>
      <w:r>
        <w:rPr>
          <w:rFonts w:hint="eastAsia" w:ascii="仿宋_GB2312" w:hAnsi="仿宋_GB2312" w:eastAsia="仿宋_GB2312" w:cs="仿宋_GB2312"/>
          <w:b w:val="0"/>
          <w:i w:val="0"/>
          <w:spacing w:val="0"/>
          <w:w w:val="100"/>
          <w:sz w:val="32"/>
          <w:szCs w:val="32"/>
          <w:lang w:val="en-US" w:eastAsia="zh-CN"/>
        </w:rPr>
        <w:t>银行</w:t>
      </w:r>
      <w:r>
        <w:rPr>
          <w:rFonts w:hint="eastAsia" w:ascii="仿宋_GB2312" w:hAnsi="仿宋_GB2312" w:eastAsia="仿宋_GB2312" w:cs="仿宋_GB2312"/>
          <w:b w:val="0"/>
          <w:i w:val="0"/>
          <w:spacing w:val="0"/>
          <w:w w:val="100"/>
          <w:sz w:val="32"/>
          <w:szCs w:val="32"/>
        </w:rPr>
        <w:t>凭证、发票等资料进行核实、校验</w:t>
      </w:r>
      <w:r>
        <w:rPr>
          <w:rFonts w:hint="eastAsia" w:ascii="仿宋_GB2312" w:hAnsi="仿宋_GB2312" w:eastAsia="仿宋_GB2312" w:cs="仿宋_GB2312"/>
          <w:b w:val="0"/>
          <w:i w:val="0"/>
          <w:spacing w:val="0"/>
          <w:w w:val="100"/>
          <w:sz w:val="32"/>
          <w:szCs w:val="32"/>
          <w:lang w:eastAsia="zh-CN"/>
        </w:rPr>
        <w:t>，</w:t>
      </w:r>
      <w:r>
        <w:rPr>
          <w:rFonts w:hint="eastAsia" w:ascii="仿宋_GB2312" w:hAnsi="仿宋_GB2312" w:eastAsia="仿宋_GB2312" w:cs="仿宋_GB2312"/>
          <w:b w:val="0"/>
          <w:i w:val="0"/>
          <w:spacing w:val="0"/>
          <w:w w:val="100"/>
          <w:sz w:val="32"/>
          <w:szCs w:val="32"/>
          <w:lang w:val="en-US" w:eastAsia="zh-CN"/>
        </w:rPr>
        <w:t>预算经费不超过</w:t>
      </w:r>
      <w:r>
        <w:rPr>
          <w:rFonts w:hint="eastAsia" w:ascii="仿宋_GB2312" w:hAnsi="仿宋_GB2312" w:eastAsia="仿宋_GB2312" w:cs="仿宋_GB2312"/>
          <w:spacing w:val="0"/>
          <w:kern w:val="0"/>
          <w:sz w:val="32"/>
          <w:szCs w:val="32"/>
          <w:shd w:val="clear" w:color="auto" w:fill="FFFFFF"/>
          <w:lang w:val="en-US" w:eastAsia="zh-CN"/>
        </w:rPr>
        <w:t>40000</w:t>
      </w:r>
      <w:r>
        <w:rPr>
          <w:rFonts w:hint="eastAsia" w:ascii="仿宋_GB2312" w:hAnsi="仿宋_GB2312" w:eastAsia="仿宋_GB2312" w:cs="仿宋_GB2312"/>
          <w:spacing w:val="0"/>
          <w:kern w:val="0"/>
          <w:sz w:val="32"/>
          <w:szCs w:val="32"/>
          <w:shd w:val="clear" w:color="auto" w:fill="FFFFFF"/>
        </w:rPr>
        <w:t>元</w:t>
      </w:r>
      <w:r>
        <w:rPr>
          <w:rFonts w:hint="eastAsia" w:ascii="仿宋_GB2312" w:hAnsi="仿宋_GB2312" w:eastAsia="仿宋_GB2312" w:cs="仿宋_GB2312"/>
          <w:spacing w:val="0"/>
          <w:kern w:val="0"/>
          <w:sz w:val="32"/>
          <w:szCs w:val="32"/>
          <w:shd w:val="clear" w:color="auto" w:fill="FFFFFF"/>
          <w:lang w:val="en-US" w:eastAsia="zh-CN"/>
        </w:rPr>
        <w:t>人民币。</w:t>
      </w:r>
      <w:r>
        <w:rPr>
          <w:rFonts w:hint="eastAsia" w:ascii="仿宋_GB2312" w:hAnsi="仿宋_GB2312" w:eastAsia="仿宋_GB2312" w:cs="仿宋_GB2312"/>
          <w:b w:val="0"/>
          <w:i w:val="0"/>
          <w:spacing w:val="0"/>
          <w:w w:val="100"/>
          <w:sz w:val="32"/>
          <w:szCs w:val="32"/>
        </w:rPr>
        <w:t>具体服务要求如下：</w:t>
      </w:r>
    </w:p>
    <w:p w14:paraId="5BF35F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b w:val="0"/>
          <w:bCs w:val="0"/>
          <w:sz w:val="32"/>
          <w:szCs w:val="32"/>
          <w:lang w:val="en-US" w:eastAsia="zh-CN"/>
        </w:rPr>
        <w:t>资料校验</w:t>
      </w:r>
    </w:p>
    <w:p w14:paraId="64F0AB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对申报单位提交的税务发票，通过税务局官方验证系统逐张核验，校验真实性。</w:t>
      </w:r>
    </w:p>
    <w:p w14:paraId="049754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核实支付或到款凭证时间是否在2025年1月1日-2025年12月31日期间。</w:t>
      </w:r>
    </w:p>
    <w:p w14:paraId="1EEC8C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对申报单位提交的支付或到款凭证时间、金额信息与发票信息、合同信息、</w:t>
      </w:r>
      <w:r>
        <w:rPr>
          <w:rFonts w:hint="eastAsia" w:ascii="仿宋_GB2312" w:hAnsi="仿宋_GB2312" w:eastAsia="仿宋_GB2312" w:cs="仿宋_GB2312"/>
          <w:color w:val="000000"/>
          <w:sz w:val="32"/>
          <w:szCs w:val="32"/>
          <w:lang w:val="en-US" w:eastAsia="zh-CN"/>
        </w:rPr>
        <w:t>项目实施情况表</w:t>
      </w:r>
      <w:r>
        <w:rPr>
          <w:rFonts w:hint="eastAsia" w:ascii="仿宋_GB2312" w:hAnsi="仿宋_GB2312" w:eastAsia="仿宋_GB2312" w:cs="仿宋_GB2312"/>
          <w:sz w:val="32"/>
          <w:szCs w:val="32"/>
          <w:lang w:val="en-US" w:eastAsia="zh-CN"/>
        </w:rPr>
        <w:t>逐项比对，核实关联性、有效性。重点核实以下情况：</w:t>
      </w:r>
    </w:p>
    <w:p w14:paraId="5C056E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（1）银行凭证（支付或到款）</w:t>
      </w:r>
      <w:r>
        <w:rPr>
          <w:rFonts w:hint="eastAsia" w:ascii="仿宋_GB2312" w:hAnsi="仿宋_GB2312" w:eastAsia="仿宋_GB2312" w:cs="仿宋_GB2312"/>
          <w:sz w:val="32"/>
          <w:szCs w:val="32"/>
          <w:lang w:val="en-US" w:eastAsia="zh-CN"/>
        </w:rPr>
        <w:t>时间超过合同截止期2年以上；</w:t>
      </w:r>
    </w:p>
    <w:p w14:paraId="66D37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（2）银行凭证</w:t>
      </w:r>
      <w:r>
        <w:rPr>
          <w:rFonts w:hint="eastAsia" w:ascii="仿宋_GB2312" w:hAnsi="仿宋_GB2312" w:eastAsia="仿宋_GB2312" w:cs="仿宋_GB2312"/>
          <w:sz w:val="32"/>
          <w:szCs w:val="32"/>
          <w:lang w:val="en-US" w:eastAsia="zh-CN"/>
        </w:rPr>
        <w:t>金额与发票金额不一致；</w:t>
      </w:r>
    </w:p>
    <w:p w14:paraId="5272C4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1" w:firstLineChars="213"/>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发票开具款项用途与资金用途、合同约定不一致；</w:t>
      </w:r>
    </w:p>
    <w:p w14:paraId="71EFAFC5">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（4）其他不具有关联性、有效性的情形。</w:t>
      </w:r>
    </w:p>
    <w:p w14:paraId="5771CF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存疑核查</w:t>
      </w:r>
    </w:p>
    <w:p w14:paraId="647D1D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对税务发票、银行凭证等资料无法辨识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进行现场核实</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val="en-US" w:eastAsia="zh-CN"/>
        </w:rPr>
        <w:t>核查申报单位原件资料与提交的电子版资料是否一致；</w:t>
      </w:r>
    </w:p>
    <w:p w14:paraId="529474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lang w:val="en-US" w:eastAsia="zh-CN"/>
        </w:rPr>
        <w:t>对资料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完整性、真实性、有效性、关联性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存疑的</w:t>
      </w:r>
      <w:r>
        <w:rPr>
          <w:rFonts w:hint="eastAsia" w:ascii="仿宋_GB2312" w:hAnsi="仿宋_GB2312" w:eastAsia="仿宋_GB2312" w:cs="仿宋_GB2312"/>
          <w:color w:val="000000"/>
          <w:sz w:val="32"/>
          <w:szCs w:val="32"/>
          <w:lang w:val="en-US" w:eastAsia="zh-CN"/>
        </w:rPr>
        <w:t>申报单位进行现场核查，主要核查内容包括</w:t>
      </w:r>
      <w:r>
        <w:rPr>
          <w:rFonts w:hint="eastAsia" w:ascii="仿宋_GB2312" w:hAnsi="仿宋_GB2312" w:eastAsia="仿宋_GB2312" w:cs="仿宋_GB2312"/>
          <w:color w:val="000000"/>
          <w:sz w:val="32"/>
          <w:szCs w:val="32"/>
        </w:rPr>
        <w:t>技术合同履行情况（</w:t>
      </w:r>
      <w:r>
        <w:rPr>
          <w:rFonts w:hint="eastAsia" w:ascii="仿宋_GB2312" w:hAnsi="仿宋_GB2312" w:eastAsia="仿宋_GB2312" w:cs="仿宋_GB2312"/>
          <w:color w:val="000000"/>
          <w:sz w:val="32"/>
          <w:szCs w:val="32"/>
          <w:lang w:val="en-US" w:eastAsia="zh-CN"/>
        </w:rPr>
        <w:t>包含</w:t>
      </w:r>
      <w:r>
        <w:rPr>
          <w:rFonts w:hint="eastAsia" w:ascii="仿宋_GB2312" w:hAnsi="仿宋_GB2312" w:eastAsia="仿宋_GB2312" w:cs="仿宋_GB2312"/>
          <w:color w:val="000000"/>
          <w:sz w:val="32"/>
          <w:szCs w:val="32"/>
        </w:rPr>
        <w:t>技术</w:t>
      </w:r>
      <w:r>
        <w:rPr>
          <w:rFonts w:hint="eastAsia" w:ascii="仿宋_GB2312" w:hAnsi="仿宋_GB2312" w:eastAsia="仿宋_GB2312" w:cs="仿宋_GB2312"/>
          <w:color w:val="000000"/>
          <w:sz w:val="32"/>
          <w:szCs w:val="32"/>
          <w:lang w:val="en-US" w:eastAsia="zh-CN"/>
        </w:rPr>
        <w:t>开发进展情况、</w:t>
      </w:r>
      <w:r>
        <w:rPr>
          <w:rFonts w:hint="eastAsia" w:ascii="仿宋_GB2312" w:hAnsi="仿宋_GB2312" w:eastAsia="仿宋_GB2312" w:cs="仿宋_GB2312"/>
          <w:color w:val="000000"/>
          <w:sz w:val="32"/>
          <w:szCs w:val="32"/>
        </w:rPr>
        <w:t>成果应用</w:t>
      </w:r>
      <w:r>
        <w:rPr>
          <w:rFonts w:hint="eastAsia" w:ascii="仿宋_GB2312" w:hAnsi="仿宋_GB2312" w:eastAsia="仿宋_GB2312" w:cs="仿宋_GB2312"/>
          <w:color w:val="000000"/>
          <w:sz w:val="32"/>
          <w:szCs w:val="32"/>
          <w:lang w:val="en-US" w:eastAsia="zh-CN"/>
        </w:rPr>
        <w:t>情况</w:t>
      </w:r>
      <w:r>
        <w:rPr>
          <w:rFonts w:hint="eastAsia" w:ascii="仿宋_GB2312" w:hAnsi="仿宋_GB2312" w:eastAsia="仿宋_GB2312" w:cs="仿宋_GB2312"/>
          <w:color w:val="000000"/>
          <w:sz w:val="32"/>
          <w:szCs w:val="32"/>
        </w:rPr>
        <w:t>、知识产权转移记录</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资金流向</w:t>
      </w:r>
      <w:r>
        <w:rPr>
          <w:rFonts w:hint="eastAsia" w:ascii="仿宋_GB2312" w:hAnsi="仿宋_GB2312" w:eastAsia="仿宋_GB2312" w:cs="仿宋_GB2312"/>
          <w:color w:val="000000"/>
          <w:sz w:val="32"/>
          <w:szCs w:val="32"/>
          <w:lang w:val="en-US" w:eastAsia="zh-CN"/>
        </w:rPr>
        <w:t>情况</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包含项目资金使用计划、资金使用情况、资金账目流水等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themeColor="text1"/>
          <w:sz w:val="32"/>
          <w:szCs w:val="32"/>
          <w14:textFill>
            <w14:solidFill>
              <w14:schemeClr w14:val="tx1"/>
            </w14:solidFill>
          </w14:textFill>
        </w:rPr>
        <w:t>现场核查由受托方与各区推荐部门联合开展，并由受托方独立提出核查意见。</w:t>
      </w:r>
    </w:p>
    <w:p w14:paraId="372D60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信息收集</w:t>
      </w:r>
    </w:p>
    <w:p w14:paraId="658889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1.整理收集申报单位的账号信息、联系人信息。</w:t>
      </w:r>
    </w:p>
    <w:p w14:paraId="74AB8D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2.开展现场核查时，收集申报单位对本政策的相关建议。</w:t>
      </w:r>
    </w:p>
    <w:p w14:paraId="4B5D6C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四、提交校验报告</w:t>
      </w:r>
    </w:p>
    <w:p w14:paraId="4CC80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托方完成全部校验核查工作后应在规定时间内提交完整的校验审计报告及工作台账资料，具体包括但不限于以下材料：校验审计报告、税务发票查验平台导出信息、资料校验汇总表、账户信息汇总表等材料。详见附件。</w:t>
      </w:r>
    </w:p>
    <w:p w14:paraId="42AFCE2B">
      <w:pPr>
        <w:pStyle w:val="2"/>
        <w:keepNext w:val="0"/>
        <w:keepLines w:val="0"/>
        <w:pageBreakBefore w:val="0"/>
        <w:widowControl w:val="0"/>
        <w:kinsoku/>
        <w:wordWrap/>
        <w:overflowPunct/>
        <w:topLinePunct w:val="0"/>
        <w:autoSpaceDE/>
        <w:autoSpaceDN/>
        <w:bidi w:val="0"/>
        <w:adjustRightInd/>
        <w:spacing w:line="560" w:lineRule="exact"/>
        <w:ind w:firstLine="320" w:firstLineChars="100"/>
        <w:textAlignment w:val="auto"/>
        <w:rPr>
          <w:rFonts w:hint="eastAsia" w:ascii="仿宋_GB2312" w:hAnsi="仿宋_GB2312" w:eastAsia="仿宋_GB2312" w:cs="仿宋_GB2312"/>
          <w:sz w:val="32"/>
          <w:szCs w:val="32"/>
          <w:lang w:val="en-US" w:eastAsia="zh-CN"/>
        </w:rPr>
      </w:pPr>
    </w:p>
    <w:p w14:paraId="5DC2CEE8">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附件：1-1.2025年度技术交易补助资料校验汇总表</w:t>
      </w:r>
    </w:p>
    <w:p w14:paraId="37BA4986">
      <w:pPr>
        <w:pStyle w:val="2"/>
        <w:keepNext w:val="0"/>
        <w:keepLines w:val="0"/>
        <w:pageBreakBefore w:val="0"/>
        <w:widowControl w:val="0"/>
        <w:kinsoku/>
        <w:wordWrap/>
        <w:overflowPunct/>
        <w:topLinePunct w:val="0"/>
        <w:autoSpaceDE/>
        <w:autoSpaceDN/>
        <w:bidi w:val="0"/>
        <w:adjustRightInd/>
        <w:spacing w:line="560" w:lineRule="exact"/>
        <w:ind w:firstLine="1600" w:firstLineChars="500"/>
        <w:textAlignment w:val="auto"/>
        <w:rPr>
          <w:rFonts w:hint="default" w:ascii="文星仿宋" w:hAnsi="文星仿宋" w:eastAsia="文星仿宋" w:cs="文星仿宋"/>
          <w:spacing w:val="0"/>
          <w:kern w:val="0"/>
          <w:sz w:val="32"/>
          <w:szCs w:val="32"/>
          <w:shd w:val="clear" w:color="auto" w:fill="FFFFFF"/>
          <w:lang w:val="en-US" w:eastAsia="zh-CN"/>
        </w:rPr>
        <w:sectPr>
          <w:pgSz w:w="11907" w:h="16840"/>
          <w:pgMar w:top="1701" w:right="1418" w:bottom="1440" w:left="1418" w:header="851" w:footer="680" w:gutter="0"/>
          <w:pgNumType w:start="1"/>
          <w:cols w:space="0" w:num="1"/>
          <w:docGrid w:type="linesAndChars" w:linePitch="313" w:charSpace="0"/>
        </w:sectPr>
      </w:pPr>
      <w:r>
        <w:rPr>
          <w:rFonts w:hint="eastAsia" w:ascii="仿宋_GB2312" w:hAnsi="仿宋_GB2312" w:eastAsia="仿宋_GB2312" w:cs="仿宋_GB2312"/>
          <w:spacing w:val="0"/>
          <w:kern w:val="2"/>
          <w:sz w:val="32"/>
          <w:szCs w:val="32"/>
          <w:lang w:val="en-US" w:eastAsia="zh-CN" w:bidi="ar-SA"/>
        </w:rPr>
        <w:t>1-2.2025年度技术交易补助项目账户信息汇总表</w:t>
      </w:r>
    </w:p>
    <w:p w14:paraId="64FBAFB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14:paraId="35050E6C">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2025年度技术交易补助资料校验汇总表</w:t>
      </w:r>
    </w:p>
    <w:p w14:paraId="4D0A9C18">
      <w:pPr>
        <w:pStyle w:val="2"/>
        <w:rPr>
          <w:rFonts w:hint="eastAsia"/>
          <w:lang w:val="en-US" w:eastAsia="zh-CN"/>
        </w:rPr>
      </w:pP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075"/>
        <w:gridCol w:w="1594"/>
        <w:gridCol w:w="5442"/>
        <w:gridCol w:w="2835"/>
      </w:tblGrid>
      <w:tr w14:paraId="1F87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28" w:type="dxa"/>
            <w:vAlign w:val="top"/>
          </w:tcPr>
          <w:p w14:paraId="469FAC2D">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3075" w:type="dxa"/>
            <w:vAlign w:val="top"/>
          </w:tcPr>
          <w:p w14:paraId="6B3EACE6">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企业名称</w:t>
            </w:r>
          </w:p>
        </w:tc>
        <w:tc>
          <w:tcPr>
            <w:tcW w:w="1594" w:type="dxa"/>
            <w:vAlign w:val="top"/>
          </w:tcPr>
          <w:p w14:paraId="2F7D9E01">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推荐区</w:t>
            </w:r>
          </w:p>
        </w:tc>
        <w:tc>
          <w:tcPr>
            <w:tcW w:w="5442" w:type="dxa"/>
            <w:vAlign w:val="top"/>
          </w:tcPr>
          <w:p w14:paraId="445BAA02">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资料校验情况</w:t>
            </w:r>
          </w:p>
        </w:tc>
        <w:tc>
          <w:tcPr>
            <w:tcW w:w="2835" w:type="dxa"/>
            <w:vAlign w:val="top"/>
          </w:tcPr>
          <w:p w14:paraId="4E464317">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14:paraId="4C9C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14:paraId="051CCBAF">
            <w:pPr>
              <w:rPr>
                <w:rFonts w:hint="eastAsia"/>
                <w:sz w:val="28"/>
                <w:szCs w:val="28"/>
                <w:vertAlign w:val="baseline"/>
                <w:lang w:val="en-US" w:eastAsia="zh-CN"/>
              </w:rPr>
            </w:pPr>
          </w:p>
        </w:tc>
        <w:tc>
          <w:tcPr>
            <w:tcW w:w="3075" w:type="dxa"/>
            <w:vAlign w:val="top"/>
          </w:tcPr>
          <w:p w14:paraId="29B197E4">
            <w:pPr>
              <w:rPr>
                <w:rFonts w:hint="eastAsia"/>
                <w:sz w:val="28"/>
                <w:szCs w:val="28"/>
                <w:vertAlign w:val="baseline"/>
                <w:lang w:val="en-US" w:eastAsia="zh-CN"/>
              </w:rPr>
            </w:pPr>
          </w:p>
        </w:tc>
        <w:tc>
          <w:tcPr>
            <w:tcW w:w="1594" w:type="dxa"/>
            <w:vAlign w:val="top"/>
          </w:tcPr>
          <w:p w14:paraId="46A792EF">
            <w:pPr>
              <w:rPr>
                <w:rFonts w:hint="eastAsia"/>
                <w:sz w:val="28"/>
                <w:szCs w:val="28"/>
                <w:vertAlign w:val="baseline"/>
                <w:lang w:val="en-US" w:eastAsia="zh-CN"/>
              </w:rPr>
            </w:pPr>
          </w:p>
        </w:tc>
        <w:tc>
          <w:tcPr>
            <w:tcW w:w="5442" w:type="dxa"/>
            <w:vAlign w:val="top"/>
          </w:tcPr>
          <w:p w14:paraId="3E6084B6">
            <w:pPr>
              <w:rPr>
                <w:rFonts w:hint="eastAsia"/>
                <w:sz w:val="28"/>
                <w:szCs w:val="28"/>
                <w:vertAlign w:val="baseline"/>
                <w:lang w:val="en-US" w:eastAsia="zh-CN"/>
              </w:rPr>
            </w:pPr>
          </w:p>
        </w:tc>
        <w:tc>
          <w:tcPr>
            <w:tcW w:w="2835" w:type="dxa"/>
            <w:vAlign w:val="top"/>
          </w:tcPr>
          <w:p w14:paraId="22B617E9">
            <w:pPr>
              <w:rPr>
                <w:rFonts w:hint="eastAsia"/>
                <w:sz w:val="28"/>
                <w:szCs w:val="28"/>
                <w:vertAlign w:val="baseline"/>
                <w:lang w:val="en-US" w:eastAsia="zh-CN"/>
              </w:rPr>
            </w:pPr>
          </w:p>
        </w:tc>
      </w:tr>
      <w:tr w14:paraId="4512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14:paraId="0F9814B3">
            <w:pPr>
              <w:rPr>
                <w:rFonts w:hint="eastAsia"/>
                <w:sz w:val="28"/>
                <w:szCs w:val="28"/>
                <w:vertAlign w:val="baseline"/>
                <w:lang w:val="en-US" w:eastAsia="zh-CN"/>
              </w:rPr>
            </w:pPr>
          </w:p>
        </w:tc>
        <w:tc>
          <w:tcPr>
            <w:tcW w:w="3075" w:type="dxa"/>
            <w:vAlign w:val="top"/>
          </w:tcPr>
          <w:p w14:paraId="1A8A13DF">
            <w:pPr>
              <w:rPr>
                <w:rFonts w:hint="eastAsia"/>
                <w:sz w:val="28"/>
                <w:szCs w:val="28"/>
                <w:vertAlign w:val="baseline"/>
                <w:lang w:val="en-US" w:eastAsia="zh-CN"/>
              </w:rPr>
            </w:pPr>
          </w:p>
        </w:tc>
        <w:tc>
          <w:tcPr>
            <w:tcW w:w="1594" w:type="dxa"/>
            <w:vAlign w:val="top"/>
          </w:tcPr>
          <w:p w14:paraId="5175D9B6">
            <w:pPr>
              <w:rPr>
                <w:rFonts w:hint="eastAsia"/>
                <w:sz w:val="28"/>
                <w:szCs w:val="28"/>
                <w:vertAlign w:val="baseline"/>
                <w:lang w:val="en-US" w:eastAsia="zh-CN"/>
              </w:rPr>
            </w:pPr>
          </w:p>
        </w:tc>
        <w:tc>
          <w:tcPr>
            <w:tcW w:w="5442" w:type="dxa"/>
            <w:vAlign w:val="top"/>
          </w:tcPr>
          <w:p w14:paraId="5E29C0FD">
            <w:pPr>
              <w:rPr>
                <w:rFonts w:hint="eastAsia"/>
                <w:sz w:val="28"/>
                <w:szCs w:val="28"/>
                <w:vertAlign w:val="baseline"/>
                <w:lang w:val="en-US" w:eastAsia="zh-CN"/>
              </w:rPr>
            </w:pPr>
          </w:p>
        </w:tc>
        <w:tc>
          <w:tcPr>
            <w:tcW w:w="2835" w:type="dxa"/>
            <w:vAlign w:val="top"/>
          </w:tcPr>
          <w:p w14:paraId="66C716FE">
            <w:pPr>
              <w:rPr>
                <w:rFonts w:hint="eastAsia"/>
                <w:sz w:val="28"/>
                <w:szCs w:val="28"/>
                <w:vertAlign w:val="baseline"/>
                <w:lang w:val="en-US" w:eastAsia="zh-CN"/>
              </w:rPr>
            </w:pPr>
          </w:p>
        </w:tc>
      </w:tr>
      <w:tr w14:paraId="0028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14:paraId="489D13B8">
            <w:pPr>
              <w:rPr>
                <w:rFonts w:hint="eastAsia"/>
                <w:sz w:val="28"/>
                <w:szCs w:val="28"/>
                <w:vertAlign w:val="baseline"/>
                <w:lang w:val="en-US" w:eastAsia="zh-CN"/>
              </w:rPr>
            </w:pPr>
          </w:p>
        </w:tc>
        <w:tc>
          <w:tcPr>
            <w:tcW w:w="3075" w:type="dxa"/>
            <w:vAlign w:val="top"/>
          </w:tcPr>
          <w:p w14:paraId="5CA67CEE">
            <w:pPr>
              <w:rPr>
                <w:rFonts w:hint="eastAsia"/>
                <w:sz w:val="28"/>
                <w:szCs w:val="28"/>
                <w:vertAlign w:val="baseline"/>
                <w:lang w:val="en-US" w:eastAsia="zh-CN"/>
              </w:rPr>
            </w:pPr>
          </w:p>
        </w:tc>
        <w:tc>
          <w:tcPr>
            <w:tcW w:w="1594" w:type="dxa"/>
            <w:vAlign w:val="top"/>
          </w:tcPr>
          <w:p w14:paraId="19D01BD8">
            <w:pPr>
              <w:rPr>
                <w:rFonts w:hint="eastAsia"/>
                <w:sz w:val="28"/>
                <w:szCs w:val="28"/>
                <w:vertAlign w:val="baseline"/>
                <w:lang w:val="en-US" w:eastAsia="zh-CN"/>
              </w:rPr>
            </w:pPr>
          </w:p>
        </w:tc>
        <w:tc>
          <w:tcPr>
            <w:tcW w:w="5442" w:type="dxa"/>
            <w:vAlign w:val="top"/>
          </w:tcPr>
          <w:p w14:paraId="0DF35CC7">
            <w:pPr>
              <w:rPr>
                <w:rFonts w:hint="eastAsia"/>
                <w:sz w:val="28"/>
                <w:szCs w:val="28"/>
                <w:vertAlign w:val="baseline"/>
                <w:lang w:val="en-US" w:eastAsia="zh-CN"/>
              </w:rPr>
            </w:pPr>
          </w:p>
        </w:tc>
        <w:tc>
          <w:tcPr>
            <w:tcW w:w="2835" w:type="dxa"/>
            <w:vAlign w:val="top"/>
          </w:tcPr>
          <w:p w14:paraId="137F8886">
            <w:pPr>
              <w:rPr>
                <w:rFonts w:hint="eastAsia"/>
                <w:sz w:val="28"/>
                <w:szCs w:val="28"/>
                <w:vertAlign w:val="baseline"/>
                <w:lang w:val="en-US" w:eastAsia="zh-CN"/>
              </w:rPr>
            </w:pPr>
          </w:p>
        </w:tc>
      </w:tr>
      <w:tr w14:paraId="37ED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14:paraId="6CA52D25">
            <w:pPr>
              <w:rPr>
                <w:rFonts w:hint="eastAsia"/>
                <w:sz w:val="28"/>
                <w:szCs w:val="28"/>
                <w:vertAlign w:val="baseline"/>
                <w:lang w:val="en-US" w:eastAsia="zh-CN"/>
              </w:rPr>
            </w:pPr>
          </w:p>
        </w:tc>
        <w:tc>
          <w:tcPr>
            <w:tcW w:w="3075" w:type="dxa"/>
            <w:vAlign w:val="top"/>
          </w:tcPr>
          <w:p w14:paraId="27CECF76">
            <w:pPr>
              <w:rPr>
                <w:rFonts w:hint="eastAsia"/>
                <w:sz w:val="28"/>
                <w:szCs w:val="28"/>
                <w:vertAlign w:val="baseline"/>
                <w:lang w:val="en-US" w:eastAsia="zh-CN"/>
              </w:rPr>
            </w:pPr>
          </w:p>
        </w:tc>
        <w:tc>
          <w:tcPr>
            <w:tcW w:w="1594" w:type="dxa"/>
            <w:vAlign w:val="top"/>
          </w:tcPr>
          <w:p w14:paraId="0BBD8EF1">
            <w:pPr>
              <w:rPr>
                <w:rFonts w:hint="eastAsia"/>
                <w:sz w:val="28"/>
                <w:szCs w:val="28"/>
                <w:vertAlign w:val="baseline"/>
                <w:lang w:val="en-US" w:eastAsia="zh-CN"/>
              </w:rPr>
            </w:pPr>
          </w:p>
        </w:tc>
        <w:tc>
          <w:tcPr>
            <w:tcW w:w="5442" w:type="dxa"/>
            <w:vAlign w:val="top"/>
          </w:tcPr>
          <w:p w14:paraId="230004D5">
            <w:pPr>
              <w:rPr>
                <w:rFonts w:hint="eastAsia"/>
                <w:sz w:val="28"/>
                <w:szCs w:val="28"/>
                <w:vertAlign w:val="baseline"/>
                <w:lang w:val="en-US" w:eastAsia="zh-CN"/>
              </w:rPr>
            </w:pPr>
          </w:p>
        </w:tc>
        <w:tc>
          <w:tcPr>
            <w:tcW w:w="2835" w:type="dxa"/>
            <w:vAlign w:val="top"/>
          </w:tcPr>
          <w:p w14:paraId="710A9758">
            <w:pPr>
              <w:rPr>
                <w:rFonts w:hint="eastAsia"/>
                <w:sz w:val="28"/>
                <w:szCs w:val="28"/>
                <w:vertAlign w:val="baseline"/>
                <w:lang w:val="en-US" w:eastAsia="zh-CN"/>
              </w:rPr>
            </w:pPr>
          </w:p>
        </w:tc>
      </w:tr>
      <w:tr w14:paraId="7A5B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14:paraId="107D74D8">
            <w:pPr>
              <w:rPr>
                <w:rFonts w:hint="eastAsia"/>
                <w:sz w:val="28"/>
                <w:szCs w:val="28"/>
                <w:vertAlign w:val="baseline"/>
                <w:lang w:val="en-US" w:eastAsia="zh-CN"/>
              </w:rPr>
            </w:pPr>
          </w:p>
        </w:tc>
        <w:tc>
          <w:tcPr>
            <w:tcW w:w="3075" w:type="dxa"/>
            <w:vAlign w:val="top"/>
          </w:tcPr>
          <w:p w14:paraId="15FDB13F">
            <w:pPr>
              <w:rPr>
                <w:rFonts w:hint="eastAsia"/>
                <w:sz w:val="28"/>
                <w:szCs w:val="28"/>
                <w:vertAlign w:val="baseline"/>
                <w:lang w:val="en-US" w:eastAsia="zh-CN"/>
              </w:rPr>
            </w:pPr>
          </w:p>
        </w:tc>
        <w:tc>
          <w:tcPr>
            <w:tcW w:w="1594" w:type="dxa"/>
            <w:vAlign w:val="top"/>
          </w:tcPr>
          <w:p w14:paraId="140B486B">
            <w:pPr>
              <w:rPr>
                <w:rFonts w:hint="eastAsia"/>
                <w:sz w:val="28"/>
                <w:szCs w:val="28"/>
                <w:vertAlign w:val="baseline"/>
                <w:lang w:val="en-US" w:eastAsia="zh-CN"/>
              </w:rPr>
            </w:pPr>
          </w:p>
        </w:tc>
        <w:tc>
          <w:tcPr>
            <w:tcW w:w="5442" w:type="dxa"/>
            <w:vAlign w:val="top"/>
          </w:tcPr>
          <w:p w14:paraId="2F656A1E">
            <w:pPr>
              <w:rPr>
                <w:rFonts w:hint="eastAsia"/>
                <w:sz w:val="28"/>
                <w:szCs w:val="28"/>
                <w:vertAlign w:val="baseline"/>
                <w:lang w:val="en-US" w:eastAsia="zh-CN"/>
              </w:rPr>
            </w:pPr>
          </w:p>
        </w:tc>
        <w:tc>
          <w:tcPr>
            <w:tcW w:w="2835" w:type="dxa"/>
            <w:vAlign w:val="top"/>
          </w:tcPr>
          <w:p w14:paraId="5EE5F4A1">
            <w:pPr>
              <w:rPr>
                <w:rFonts w:hint="eastAsia"/>
                <w:sz w:val="28"/>
                <w:szCs w:val="28"/>
                <w:vertAlign w:val="baseline"/>
                <w:lang w:val="en-US" w:eastAsia="zh-CN"/>
              </w:rPr>
            </w:pPr>
          </w:p>
        </w:tc>
      </w:tr>
      <w:tr w14:paraId="451F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14:paraId="13FF30A6">
            <w:pPr>
              <w:rPr>
                <w:rFonts w:hint="eastAsia"/>
                <w:sz w:val="28"/>
                <w:szCs w:val="28"/>
                <w:vertAlign w:val="baseline"/>
                <w:lang w:val="en-US" w:eastAsia="zh-CN"/>
              </w:rPr>
            </w:pPr>
          </w:p>
        </w:tc>
        <w:tc>
          <w:tcPr>
            <w:tcW w:w="3075" w:type="dxa"/>
            <w:vAlign w:val="top"/>
          </w:tcPr>
          <w:p w14:paraId="191E1A68">
            <w:pPr>
              <w:rPr>
                <w:rFonts w:hint="eastAsia"/>
                <w:sz w:val="28"/>
                <w:szCs w:val="28"/>
                <w:vertAlign w:val="baseline"/>
                <w:lang w:val="en-US" w:eastAsia="zh-CN"/>
              </w:rPr>
            </w:pPr>
          </w:p>
        </w:tc>
        <w:tc>
          <w:tcPr>
            <w:tcW w:w="1594" w:type="dxa"/>
            <w:vAlign w:val="top"/>
          </w:tcPr>
          <w:p w14:paraId="025DB10C">
            <w:pPr>
              <w:rPr>
                <w:rFonts w:hint="eastAsia"/>
                <w:sz w:val="28"/>
                <w:szCs w:val="28"/>
                <w:vertAlign w:val="baseline"/>
                <w:lang w:val="en-US" w:eastAsia="zh-CN"/>
              </w:rPr>
            </w:pPr>
          </w:p>
        </w:tc>
        <w:tc>
          <w:tcPr>
            <w:tcW w:w="5442" w:type="dxa"/>
            <w:vAlign w:val="top"/>
          </w:tcPr>
          <w:p w14:paraId="57C8643E">
            <w:pPr>
              <w:rPr>
                <w:rFonts w:hint="eastAsia"/>
                <w:sz w:val="28"/>
                <w:szCs w:val="28"/>
                <w:vertAlign w:val="baseline"/>
                <w:lang w:val="en-US" w:eastAsia="zh-CN"/>
              </w:rPr>
            </w:pPr>
          </w:p>
        </w:tc>
        <w:tc>
          <w:tcPr>
            <w:tcW w:w="2835" w:type="dxa"/>
            <w:vAlign w:val="top"/>
          </w:tcPr>
          <w:p w14:paraId="7CC04C64">
            <w:pPr>
              <w:rPr>
                <w:rFonts w:hint="eastAsia"/>
                <w:sz w:val="28"/>
                <w:szCs w:val="28"/>
                <w:vertAlign w:val="baseline"/>
                <w:lang w:val="en-US" w:eastAsia="zh-CN"/>
              </w:rPr>
            </w:pPr>
          </w:p>
        </w:tc>
      </w:tr>
      <w:tr w14:paraId="67C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14:paraId="7B1B59F0">
            <w:pPr>
              <w:rPr>
                <w:rFonts w:hint="eastAsia"/>
                <w:sz w:val="28"/>
                <w:szCs w:val="28"/>
                <w:vertAlign w:val="baseline"/>
                <w:lang w:val="en-US" w:eastAsia="zh-CN"/>
              </w:rPr>
            </w:pPr>
          </w:p>
        </w:tc>
        <w:tc>
          <w:tcPr>
            <w:tcW w:w="3075" w:type="dxa"/>
            <w:vAlign w:val="top"/>
          </w:tcPr>
          <w:p w14:paraId="64E0AC4E">
            <w:pPr>
              <w:rPr>
                <w:rFonts w:hint="eastAsia"/>
                <w:sz w:val="28"/>
                <w:szCs w:val="28"/>
                <w:vertAlign w:val="baseline"/>
                <w:lang w:val="en-US" w:eastAsia="zh-CN"/>
              </w:rPr>
            </w:pPr>
          </w:p>
        </w:tc>
        <w:tc>
          <w:tcPr>
            <w:tcW w:w="1594" w:type="dxa"/>
            <w:vAlign w:val="top"/>
          </w:tcPr>
          <w:p w14:paraId="5DE5ECAF">
            <w:pPr>
              <w:rPr>
                <w:rFonts w:hint="eastAsia"/>
                <w:sz w:val="28"/>
                <w:szCs w:val="28"/>
                <w:vertAlign w:val="baseline"/>
                <w:lang w:val="en-US" w:eastAsia="zh-CN"/>
              </w:rPr>
            </w:pPr>
          </w:p>
        </w:tc>
        <w:tc>
          <w:tcPr>
            <w:tcW w:w="5442" w:type="dxa"/>
            <w:vAlign w:val="top"/>
          </w:tcPr>
          <w:p w14:paraId="53513C1D">
            <w:pPr>
              <w:rPr>
                <w:rFonts w:hint="eastAsia"/>
                <w:sz w:val="28"/>
                <w:szCs w:val="28"/>
                <w:vertAlign w:val="baseline"/>
                <w:lang w:val="en-US" w:eastAsia="zh-CN"/>
              </w:rPr>
            </w:pPr>
          </w:p>
        </w:tc>
        <w:tc>
          <w:tcPr>
            <w:tcW w:w="2835" w:type="dxa"/>
            <w:vAlign w:val="top"/>
          </w:tcPr>
          <w:p w14:paraId="79EB0A02">
            <w:pPr>
              <w:rPr>
                <w:rFonts w:hint="eastAsia"/>
                <w:sz w:val="28"/>
                <w:szCs w:val="28"/>
                <w:vertAlign w:val="baseline"/>
                <w:lang w:val="en-US" w:eastAsia="zh-CN"/>
              </w:rPr>
            </w:pPr>
          </w:p>
        </w:tc>
      </w:tr>
      <w:tr w14:paraId="6E4C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Align w:val="top"/>
          </w:tcPr>
          <w:p w14:paraId="7793F8B5">
            <w:pPr>
              <w:rPr>
                <w:rFonts w:hint="eastAsia"/>
                <w:sz w:val="28"/>
                <w:szCs w:val="28"/>
                <w:vertAlign w:val="baseline"/>
                <w:lang w:val="en-US" w:eastAsia="zh-CN"/>
              </w:rPr>
            </w:pPr>
          </w:p>
        </w:tc>
        <w:tc>
          <w:tcPr>
            <w:tcW w:w="3075" w:type="dxa"/>
            <w:vAlign w:val="top"/>
          </w:tcPr>
          <w:p w14:paraId="1E1F010A">
            <w:pPr>
              <w:rPr>
                <w:rFonts w:hint="eastAsia"/>
                <w:sz w:val="28"/>
                <w:szCs w:val="28"/>
                <w:vertAlign w:val="baseline"/>
                <w:lang w:val="en-US" w:eastAsia="zh-CN"/>
              </w:rPr>
            </w:pPr>
          </w:p>
        </w:tc>
        <w:tc>
          <w:tcPr>
            <w:tcW w:w="1594" w:type="dxa"/>
            <w:vAlign w:val="top"/>
          </w:tcPr>
          <w:p w14:paraId="7D4B9377">
            <w:pPr>
              <w:rPr>
                <w:rFonts w:hint="eastAsia"/>
                <w:sz w:val="28"/>
                <w:szCs w:val="28"/>
                <w:vertAlign w:val="baseline"/>
                <w:lang w:val="en-US" w:eastAsia="zh-CN"/>
              </w:rPr>
            </w:pPr>
          </w:p>
        </w:tc>
        <w:tc>
          <w:tcPr>
            <w:tcW w:w="5442" w:type="dxa"/>
            <w:vAlign w:val="top"/>
          </w:tcPr>
          <w:p w14:paraId="08F61FDE">
            <w:pPr>
              <w:rPr>
                <w:rFonts w:hint="eastAsia"/>
                <w:sz w:val="28"/>
                <w:szCs w:val="28"/>
                <w:vertAlign w:val="baseline"/>
                <w:lang w:val="en-US" w:eastAsia="zh-CN"/>
              </w:rPr>
            </w:pPr>
          </w:p>
        </w:tc>
        <w:tc>
          <w:tcPr>
            <w:tcW w:w="2835" w:type="dxa"/>
            <w:vAlign w:val="top"/>
          </w:tcPr>
          <w:p w14:paraId="6C90CC6B">
            <w:pPr>
              <w:rPr>
                <w:rFonts w:hint="eastAsia"/>
                <w:sz w:val="28"/>
                <w:szCs w:val="28"/>
                <w:vertAlign w:val="baseline"/>
                <w:lang w:val="en-US" w:eastAsia="zh-CN"/>
              </w:rPr>
            </w:pPr>
          </w:p>
        </w:tc>
      </w:tr>
    </w:tbl>
    <w:p w14:paraId="4221EC2B">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附件1-2</w:t>
      </w:r>
    </w:p>
    <w:p w14:paraId="5DBA1AA7">
      <w:pPr>
        <w:pStyle w:val="2"/>
        <w:rPr>
          <w:rFonts w:hint="eastAsia"/>
          <w:lang w:val="en-US" w:eastAsia="zh-CN"/>
        </w:rPr>
      </w:pPr>
    </w:p>
    <w:p w14:paraId="0FBBB6B1">
      <w:pPr>
        <w:pStyle w:val="2"/>
        <w:ind w:firstLine="440" w:firstLineChars="1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2025年度技术交易补助项目账户信息汇总表</w:t>
      </w:r>
    </w:p>
    <w:tbl>
      <w:tblPr>
        <w:tblStyle w:val="4"/>
        <w:tblW w:w="14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910"/>
        <w:gridCol w:w="1570"/>
        <w:gridCol w:w="1570"/>
        <w:gridCol w:w="1570"/>
        <w:gridCol w:w="1570"/>
        <w:gridCol w:w="1570"/>
        <w:gridCol w:w="1570"/>
        <w:gridCol w:w="1570"/>
      </w:tblGrid>
      <w:tr w14:paraId="5970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14:paraId="121ADA87">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910" w:type="dxa"/>
            <w:vAlign w:val="center"/>
          </w:tcPr>
          <w:p w14:paraId="55C5F6C0">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企业名称</w:t>
            </w:r>
          </w:p>
        </w:tc>
        <w:tc>
          <w:tcPr>
            <w:tcW w:w="1570" w:type="dxa"/>
            <w:vAlign w:val="center"/>
          </w:tcPr>
          <w:p w14:paraId="14310E0B">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推荐区</w:t>
            </w:r>
          </w:p>
        </w:tc>
        <w:tc>
          <w:tcPr>
            <w:tcW w:w="1570" w:type="dxa"/>
            <w:vAlign w:val="center"/>
          </w:tcPr>
          <w:p w14:paraId="35AA953C">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联系人</w:t>
            </w:r>
          </w:p>
        </w:tc>
        <w:tc>
          <w:tcPr>
            <w:tcW w:w="1570" w:type="dxa"/>
            <w:vAlign w:val="center"/>
          </w:tcPr>
          <w:p w14:paraId="073201FF">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联系电话</w:t>
            </w:r>
          </w:p>
        </w:tc>
        <w:tc>
          <w:tcPr>
            <w:tcW w:w="1570" w:type="dxa"/>
            <w:vAlign w:val="center"/>
          </w:tcPr>
          <w:p w14:paraId="112EEB7E">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开户名称</w:t>
            </w:r>
          </w:p>
        </w:tc>
        <w:tc>
          <w:tcPr>
            <w:tcW w:w="1570" w:type="dxa"/>
            <w:vAlign w:val="center"/>
          </w:tcPr>
          <w:p w14:paraId="2A0B7BB3">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开户银行</w:t>
            </w:r>
          </w:p>
        </w:tc>
        <w:tc>
          <w:tcPr>
            <w:tcW w:w="1570" w:type="dxa"/>
            <w:vAlign w:val="center"/>
          </w:tcPr>
          <w:p w14:paraId="7FC720A5">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清算行号</w:t>
            </w:r>
          </w:p>
          <w:p w14:paraId="5EE3DD58">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（12位）</w:t>
            </w:r>
          </w:p>
        </w:tc>
        <w:tc>
          <w:tcPr>
            <w:tcW w:w="1570" w:type="dxa"/>
            <w:vAlign w:val="center"/>
          </w:tcPr>
          <w:p w14:paraId="24D6A9BC">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收款账号</w:t>
            </w:r>
          </w:p>
        </w:tc>
      </w:tr>
      <w:tr w14:paraId="37AB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28" w:type="dxa"/>
            <w:vAlign w:val="top"/>
          </w:tcPr>
          <w:p w14:paraId="278445C0">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910" w:type="dxa"/>
            <w:vAlign w:val="top"/>
          </w:tcPr>
          <w:p w14:paraId="71613480">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7480AB62">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2EBE4750">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6152412F">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4B3F0D4A">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674FFE1D">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6C879975">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124DFDCD">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r>
      <w:tr w14:paraId="39D0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28" w:type="dxa"/>
            <w:vAlign w:val="top"/>
          </w:tcPr>
          <w:p w14:paraId="1ABA6AD4">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910" w:type="dxa"/>
            <w:vAlign w:val="top"/>
          </w:tcPr>
          <w:p w14:paraId="64323353">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265D05B9">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bookmarkStart w:id="0" w:name="_GoBack"/>
            <w:bookmarkEnd w:id="0"/>
          </w:p>
        </w:tc>
        <w:tc>
          <w:tcPr>
            <w:tcW w:w="1570" w:type="dxa"/>
            <w:vAlign w:val="top"/>
          </w:tcPr>
          <w:p w14:paraId="7D5672B6">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5AB48B67">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4221C787">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289BD4AF">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6A98BA12">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7D6FBC7C">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r>
      <w:tr w14:paraId="4A56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28" w:type="dxa"/>
            <w:vAlign w:val="top"/>
          </w:tcPr>
          <w:p w14:paraId="5DD1F534">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910" w:type="dxa"/>
            <w:vAlign w:val="top"/>
          </w:tcPr>
          <w:p w14:paraId="0ABF6FD2">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131A8925">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AA0932E">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153AD7D7">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316C1B55">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4A9B456B">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74F876A3">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38154725">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r>
      <w:tr w14:paraId="28EE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28" w:type="dxa"/>
            <w:vAlign w:val="top"/>
          </w:tcPr>
          <w:p w14:paraId="69CE417F">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910" w:type="dxa"/>
            <w:vAlign w:val="top"/>
          </w:tcPr>
          <w:p w14:paraId="2C017306">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5AED3098">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5B128C73">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40E2009F">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377425AC">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C2B80F3">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41D9E22">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433F42BD">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r>
      <w:tr w14:paraId="40B2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28" w:type="dxa"/>
            <w:vAlign w:val="top"/>
          </w:tcPr>
          <w:p w14:paraId="3AA8FD6F">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910" w:type="dxa"/>
            <w:vAlign w:val="top"/>
          </w:tcPr>
          <w:p w14:paraId="61DC973D">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6592E7AB">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5E8A51B0">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9D2280C">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59282472">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445A8EA5">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2CBAEFEC">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69D2666">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r>
      <w:tr w14:paraId="1A7E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28" w:type="dxa"/>
            <w:vAlign w:val="top"/>
          </w:tcPr>
          <w:p w14:paraId="3A12DFCA">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910" w:type="dxa"/>
            <w:vAlign w:val="top"/>
          </w:tcPr>
          <w:p w14:paraId="1F0E3989">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40545F3B">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18E180B3">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5E45FD11">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34D08246">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66274958">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C684768">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2269228B">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r>
      <w:tr w14:paraId="78F0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28" w:type="dxa"/>
            <w:vAlign w:val="top"/>
          </w:tcPr>
          <w:p w14:paraId="3BEA5EA2">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910" w:type="dxa"/>
            <w:vAlign w:val="top"/>
          </w:tcPr>
          <w:p w14:paraId="2E52EA54">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150AE0B1">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EA38D3C">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5E93E874">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E711BA0">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278BE974">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0004ACD1">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c>
          <w:tcPr>
            <w:tcW w:w="1570" w:type="dxa"/>
            <w:vAlign w:val="top"/>
          </w:tcPr>
          <w:p w14:paraId="4CE5149A">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sz w:val="28"/>
                <w:szCs w:val="28"/>
                <w:vertAlign w:val="baseline"/>
                <w:lang w:val="en-US" w:eastAsia="zh-CN"/>
              </w:rPr>
            </w:pPr>
          </w:p>
        </w:tc>
      </w:tr>
    </w:tbl>
    <w:p w14:paraId="76CDCB6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FCC268-1E89-4B9A-9E02-0FBA000206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834B2FB-5AF5-4856-BFEE-66382D07B6D8}"/>
  </w:font>
  <w:font w:name="文星黑体">
    <w:panose1 w:val="0201060900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embedRegular r:id="rId3" w:fontKey="{0EFED44A-ABCA-483E-A242-7D6A19AF7E67}"/>
  </w:font>
  <w:font w:name="文星楷体">
    <w:panose1 w:val="0201060900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F22BD18B-B0B0-4A2A-B241-058CDF47ED34}"/>
  </w:font>
  <w:font w:name="仿宋_GB2312">
    <w:panose1 w:val="02010609030101010101"/>
    <w:charset w:val="86"/>
    <w:family w:val="auto"/>
    <w:pitch w:val="default"/>
    <w:sig w:usb0="00000001" w:usb1="080E0000" w:usb2="00000000" w:usb3="00000000" w:csb0="00040000" w:csb1="00000000"/>
    <w:embedRegular r:id="rId5" w:fontKey="{58A63CCB-E89C-4B22-BDB4-274F1A3D105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338A6"/>
    <w:rsid w:val="1B7338A6"/>
    <w:rsid w:val="306C3B63"/>
    <w:rsid w:val="3D9A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spacing w:val="0"/>
      <w:sz w:val="21"/>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2026-04-16T07:26:00Z</dcterms:created>
  <dc:creator>吴思维</dc:creator>
  <cp:lastModifiedBy>吴思维</cp:lastModifiedBy>
  <dcterms:modified xsi:type="dcterms:W3CDTF">2026-04-16T07:31:52Z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37FFB2F7121D4ABA97AC0B9DF7AAADFA_11</vt:lpwstr>
  </property>
  <property fmtid="{D5CDD505-2E9C-101B-9397-08002B2CF9AE}" pid="4" name="KSOTemplateDocerSaveRecord">
    <vt:lpwstr>eyJoZGlkIjoiNGY4MGE1Njk2MzUyZThkZjU3MTNhYjVhMGFjMzc5YzAiLCJ1c2VySWQiOiIzMTg2NjA1ODAifQ==</vt:lpwstr>
  </property>
</Properties>
</file>